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386C5C" w14:textId="3FEA4DF0" w:rsidR="006270B3" w:rsidRDefault="000A4790" w:rsidP="00B7453C">
      <w:pPr>
        <w:pStyle w:val="02AuthorSupplement"/>
      </w:pPr>
      <w:r w:rsidRPr="000A4790">
        <w:t>Multifunctional adaptive optics optical coherence tomography allows cellular scale reflectometry, polarimetry, and angiography in the living human eye</w:t>
      </w:r>
      <w:r w:rsidR="00C1651A" w:rsidRPr="00C1651A">
        <w:t>: supplemental document</w:t>
      </w:r>
    </w:p>
    <w:p w14:paraId="0693F9FF" w14:textId="77777777" w:rsidR="00455298" w:rsidRPr="002B3CA4" w:rsidRDefault="00455298" w:rsidP="00455298">
      <w:pPr>
        <w:pStyle w:val="02Author"/>
        <w:rPr>
          <w:vertAlign w:val="superscript"/>
        </w:rPr>
      </w:pPr>
      <w:r>
        <w:t>Kazuhiro Kurokawa</w:t>
      </w:r>
      <w:r>
        <w:rPr>
          <w:vertAlign w:val="superscript"/>
        </w:rPr>
        <w:t>*</w:t>
      </w:r>
      <w:r>
        <w:t xml:space="preserve"> and Morgan Nemeth</w:t>
      </w:r>
    </w:p>
    <w:p w14:paraId="75EA634E" w14:textId="77777777" w:rsidR="00455298" w:rsidRDefault="00455298" w:rsidP="00455298">
      <w:pPr>
        <w:pStyle w:val="03AuthorAffiliation"/>
      </w:pPr>
      <w:r w:rsidRPr="009C3F71">
        <w:t>Discoveries in Sight Research Laboratories, Devers Eye Institute, Legacy Research Institute, Legacy Health, Portland, OR</w:t>
      </w:r>
      <w:r>
        <w:t xml:space="preserve"> 97232 </w:t>
      </w:r>
      <w:r w:rsidRPr="009C3F71">
        <w:t xml:space="preserve">USA </w:t>
      </w:r>
    </w:p>
    <w:p w14:paraId="7F7E9E8C" w14:textId="2CB699D5" w:rsidR="004D79BA" w:rsidRDefault="00455298" w:rsidP="00C86E6A">
      <w:pPr>
        <w:pStyle w:val="04Email"/>
      </w:pPr>
      <w:r w:rsidRPr="00497360">
        <w:t>*</w:t>
      </w:r>
      <w:r>
        <w:t>kkurokawa</w:t>
      </w:r>
      <w:r w:rsidRPr="00497360">
        <w:t>@</w:t>
      </w:r>
      <w:r>
        <w:t>deverseye</w:t>
      </w:r>
      <w:r w:rsidRPr="00497360">
        <w:t>.org</w:t>
      </w:r>
    </w:p>
    <w:p w14:paraId="25EDE0AE" w14:textId="77777777" w:rsidR="00455298" w:rsidRPr="00455298" w:rsidRDefault="00455298" w:rsidP="00455298">
      <w:pPr>
        <w:pStyle w:val="10BodySubsequentParagraph"/>
      </w:pPr>
    </w:p>
    <w:p w14:paraId="50A0E2DD" w14:textId="77777777" w:rsidR="00F930F9" w:rsidRDefault="00F930F9" w:rsidP="00F930F9">
      <w:pPr>
        <w:pStyle w:val="08SectionHeader1"/>
      </w:pPr>
      <w:r>
        <w:t xml:space="preserve">AO-OCT system design </w:t>
      </w:r>
    </w:p>
    <w:p w14:paraId="4F260E76" w14:textId="25D06E17" w:rsidR="00F930F9" w:rsidRPr="00AF14B4" w:rsidRDefault="00AF14B4" w:rsidP="00AF14B4">
      <w:pPr>
        <w:pStyle w:val="08SectionHeader2"/>
      </w:pPr>
      <w:r>
        <w:t xml:space="preserve">1.1 </w:t>
      </w:r>
      <w:r w:rsidR="00F930F9" w:rsidRPr="00AF14B4">
        <w:t>OCT design</w:t>
      </w:r>
    </w:p>
    <w:p w14:paraId="7434CD6F" w14:textId="43D2C6B6" w:rsidR="004C6BF8" w:rsidRPr="00135306" w:rsidRDefault="004C6BF8" w:rsidP="004C6BF8">
      <w:pPr>
        <w:pStyle w:val="09BodyFirstParagraph"/>
      </w:pPr>
      <w:r w:rsidRPr="00C72BDC">
        <w:rPr>
          <w:b/>
          <w:bCs/>
          <w:color w:val="4F81BD" w:themeColor="accent1"/>
        </w:rPr>
        <w:t>Figu</w:t>
      </w:r>
      <w:r w:rsidR="006B3013">
        <w:rPr>
          <w:b/>
          <w:bCs/>
          <w:color w:val="4F81BD" w:themeColor="accent1"/>
        </w:rPr>
        <w:t>re</w:t>
      </w:r>
      <w:r w:rsidRPr="00C72BDC">
        <w:rPr>
          <w:b/>
          <w:bCs/>
          <w:color w:val="4F81BD" w:themeColor="accent1"/>
        </w:rPr>
        <w:t xml:space="preserve"> </w:t>
      </w:r>
      <w:r w:rsidR="005F4697">
        <w:rPr>
          <w:b/>
          <w:bCs/>
          <w:color w:val="4F81BD" w:themeColor="accent1"/>
        </w:rPr>
        <w:t>2</w:t>
      </w:r>
      <w:r w:rsidR="006B3013">
        <w:rPr>
          <w:b/>
          <w:bCs/>
          <w:color w:val="4F81BD" w:themeColor="accent1"/>
        </w:rPr>
        <w:t xml:space="preserve"> </w:t>
      </w:r>
      <w:r w:rsidRPr="00C72BDC">
        <w:rPr>
          <w:b/>
          <w:bCs/>
          <w:color w:val="4F81BD" w:themeColor="accent1"/>
        </w:rPr>
        <w:t>(left)</w:t>
      </w:r>
      <w:r w:rsidRPr="00E23EE8">
        <w:rPr>
          <w:color w:val="4F81BD" w:themeColor="accent1"/>
        </w:rPr>
        <w:t xml:space="preserve"> </w:t>
      </w:r>
      <w:r w:rsidRPr="00880A2D">
        <w:t xml:space="preserve">shows </w:t>
      </w:r>
      <w:r>
        <w:t xml:space="preserve">an </w:t>
      </w:r>
      <w:r w:rsidRPr="00880A2D">
        <w:t xml:space="preserve">OCT engine based on Michelson </w:t>
      </w:r>
      <w:r>
        <w:t xml:space="preserve">interferometer with a polarization diversity detection channel, the main imaging system unit that captures retinal volumetric images. We </w:t>
      </w:r>
      <w:r w:rsidRPr="00880A2D">
        <w:t>designe</w:t>
      </w:r>
      <w:r>
        <w:t>d</w:t>
      </w:r>
      <w:r w:rsidRPr="00880A2D">
        <w:t xml:space="preserve"> the OCT </w:t>
      </w:r>
      <w:r>
        <w:t>engine</w:t>
      </w:r>
      <w:r w:rsidRPr="00880A2D">
        <w:t xml:space="preserve"> to measure intrinsic optical properties, including polarization property, of retinal cells and cellular components by </w:t>
      </w:r>
      <w:r>
        <w:t>deploying</w:t>
      </w:r>
      <w:r w:rsidRPr="00880A2D">
        <w:t xml:space="preserve"> </w:t>
      </w:r>
      <w:r>
        <w:t xml:space="preserve">well-established </w:t>
      </w:r>
      <w:r w:rsidRPr="00880A2D">
        <w:t>principle</w:t>
      </w:r>
      <w:r>
        <w:t>s</w:t>
      </w:r>
      <w:r w:rsidRPr="00880A2D">
        <w:t xml:space="preserve"> of single-input</w:t>
      </w:r>
      <w:r>
        <w:t>,</w:t>
      </w:r>
      <w:r w:rsidRPr="00880A2D">
        <w:t xml:space="preserve"> single-mode-fiber (SMF) based polarization-sensitive OCT (PS-OCT)</w:t>
      </w:r>
      <w:r w:rsidRPr="00880A2D">
        <w:fldChar w:fldCharType="begin"/>
      </w:r>
      <w:r>
        <w:instrText xml:space="preserve"> ADDIN ZOTERO_ITEM CSL_CITATION {"citationID":"bt5fK09I","properties":{"unsorted":true,"formattedCitation":"\\uc0\\u160{}[1\\uc0\\u8211{}4]","plainCitation":" [1–4]","noteIndex":0},"citationItems":[{"id":5696,"uris":["http://zotero.org/users/700235/items/629P24QT"],"itemData":{"id":5696,"type":"article-journal","abstract":"An optical-fiber-based multichannel polarization-sensitive Mueller optical coherence tomography (OCT) system was built to acquire the Jones or Mueller matrix of a scattering medium, such as biological tissue. For the first time to our knowledge, fiber-based polarization-sensitive OCT was dynamically calibrated to eliminate the polarization distortion caused by the single-mode optical fiber in the sample arm, thereby overcoming a key technical impediment to the application of optical fibers in this technology. The round-trip Jones matrix of the sampling fiber was acquired from the reflecting surface of the sample for each depth scan (A scan) with our OCT system. A new rigorous algorithm was then used to retrieve the calibrated polarization properties of the sample. This algorithm was validated with experimental data. The skin of a rat was imaged with this fiber-based system.","container-title":"Optics Letters","DOI":"10.1364/OL.28.001206","issue":"14","journalAbbreviation":"Opt. Lett.","note":"PMID: 12885022","page":"1206-1208","source":"Optical Society of America","title":"Optical-fiber-based Mueller optical coherence tomography","volume":"28","author":[{"family":"Jiao","given":"Shuliang"},{"family":"Yu","given":"Wurong"},{"family":"Stoica","given":"George"},{"family":"Wang","given":"LihongV."}],"issued":{"date-parts":[["2003",7,15]]}}},{"id":15686,"uris":["http://zotero.org/users/700235/items/BCTSNV5P"],"itemData":{"id":15686,"type":"article-journal","abstract":"We comment on the recent Letter by \nJiao\n[Opt. Lett.28, 1206 (2003)] in which a polarization-sensitive optical coherence tomography system was presented. Interrogating a sample with two orthogonal incident polarization states cannot always recover birefringence correctly. A previously presented fiber-based polarization-sensitive system was inaccurately characterized, and its method of eliminating the polarization distortion caused by single-mode optical fiber was presented earlier by \nSaxer\n[Opt. Lett.25, 1355 (2000)].","container-title":"Optics Letters","DOI":"10.1364/OL.29.002873","ISSN":"1539-4794","issue":"24","journalAbbreviation":"Opt. Lett., OL","language":"EN","license":"&amp;#169; 2004 Optical Society of America","note":"publisher: Optical Society of America\nPMID: 15645809","page":"2873-2874","source":"www-osapublishing-org.proxyiub.uits.iu.edu","title":"Comment on “Optical-fiber-based Mueller optical coherence tomography”","volume":"29","author":[{"family":"Park","given":"B. Hyle"},{"family":"Pierce","given":"Mark C."},{"family":"Boer","given":"Johannes F.","dropping-particle":"de"}],"issued":{"date-parts":[["2004",12,15]]}}},{"id":6430,"uris":["http://zotero.org/users/700235/items/XSJJZ3SD"],"itemData":{"id":6430,"type":"article-journal","abstract":"We present a newly developed single mode fiber based swept source polarization sensitive optical coherence tomography system using a single input state at 1040 nm. Two non-polarizing fiber based beam splitters are combined to form a Mach-Zehnder interferometer, while two polarizing beam splitters are used to obtain a polarization sensitive detection. Both types of beam splitters solely feature conventional single mode fibers. Polarization control paddles are used to set and maintain the polarization states in the fibers of the interferometer and detection unit. By use of a special paddle alignment scheme we are able to eliminate any bulk optic wave plates and polarization maintaining fibers in the interferometer and detection paths while preserving the advantages of a single input state system that illuminates the sample with circularly polarized light. To demonstrate the capabilities of our system, we performed retinal measurements on healthy human volunteers.","container-title":"Biomedical Optics Express","DOI":"10.1364/BOE.5.002798","issue":"8","journalAbbreviation":"Biomed. Opt. Express","note":"PMID: 25136503","page":"2798-2809","source":"Optical Society of America","title":"Single input state polarization sensitive swept source optical coherence tomography based on an all single mode fiber interferometer","volume":"5","author":[{"family":"Trasischker","given":"Wolfgang"},{"family":"Zotter","given":"Stefan"},{"family":"Torzicky","given":"Teresa"},{"family":"Baumann","given":"Bernhard"},{"family":"Haindl","given":"Richard"},{"family":"Pircher","given":"Michael"},{"family":"Hitzenberger","given":"Christoph K."}],"issued":{"date-parts":[["2014",8,1]]}}},{"id":13934,"uris":["http://zotero.org/users/700235/items/NKZEGKYW"],"itemData":{"id":13934,"type":"article-journal","abstract":"Fiber-based polarization-sensitive optical frequency domain imaging is more challenging than free-space implementations. Using multiple input states, fiber-based systems provide sample birefringence information with the benefit of a flexible sample arm but come at the cost of increased system and acquisition complexity, and either reduce acquisition speed or require increased acquisition bandwidth. Here we show that with the calibration of a single polarization state, fiber-based configurations can approach the conceptual simplicity of traditional free-space configurations. We remotely control the polarization state of the light incident at the sample using the eigenpolarization states of a wave plate as a reference, and determine the Jones matrix of the output fiber. We demonstrate this method for polarization-sensitive imaging of biological samples.","container-title":"Optics Letters","DOI":"10.1364/OL.40.002025","ISSN":"1539-4794","issue":"9","journalAbbreviation":"Opt. Lett., OL","language":"EN","license":"&amp;#169; 2015 Optical Society of America","note":"publisher: Optical Society of America\nPMID: 25927775","page":"2025-2028","source":"www-osapublishing-org.proxyiub.uits.iu.edu","title":"Single input state, single-mode fiber-based polarization-sensitive optical frequency domain imaging by eigenpolarization referencing","volume":"40","author":[{"family":"Lippok","given":"Norman"},{"family":"Villiger","given":"Martin"},{"family":"Jun","given":"Changsu"},{"family":"Bouma","given":"Brett E."}],"issued":{"date-parts":[["2015",5,1]]}}}],"schema":"https://github.com/citation-style-language/schema/raw/master/csl-citation.json"} </w:instrText>
      </w:r>
      <w:r w:rsidRPr="00880A2D">
        <w:fldChar w:fldCharType="separate"/>
      </w:r>
      <w:r w:rsidRPr="00E02F61">
        <w:rPr>
          <w:szCs w:val="24"/>
        </w:rPr>
        <w:t> [1–4]</w:t>
      </w:r>
      <w:r w:rsidRPr="00880A2D">
        <w:fldChar w:fldCharType="end"/>
      </w:r>
      <w:r w:rsidRPr="009A05B0">
        <w:t xml:space="preserve">. More </w:t>
      </w:r>
      <w:r w:rsidRPr="00942B2C">
        <w:t>specifically</w:t>
      </w:r>
      <w:r w:rsidRPr="009A05B0">
        <w:t xml:space="preserve">, </w:t>
      </w:r>
      <w:r>
        <w:t>we built</w:t>
      </w:r>
      <w:r w:rsidRPr="00880A2D">
        <w:t xml:space="preserve"> a conventional single-input polarization-sensitive OCT (PS-OCT)</w:t>
      </w:r>
      <w:r>
        <w:t xml:space="preserve"> </w:t>
      </w:r>
      <w:r w:rsidRPr="00880A2D">
        <w:fldChar w:fldCharType="begin"/>
      </w:r>
      <w:r>
        <w:instrText xml:space="preserve"> ADDIN ZOTERO_ITEM CSL_CITATION {"citationID":"cDPQoO0B","properties":{"formattedCitation":"\\uc0\\u160{}[5\\uc0\\u8211{}7]","plainCitation":" [5–7]","noteIndex":0},"citationItems":[{"id":4826,"uris":["http://zotero.org/users/700235/items/IQZUGS2T"],"itemData":{"id":4826,"type":"article-journal","abstract":"We present a polarization-sensitive optical coherence-domain reflectometer capable of characterizing the phase retardation between orthogonal linear polarization modes at each reflection point in a birefringent sample. The device is insensitive to the rotation of the sample in the plane perpendicular to ranging. Phase measurement accuracy is ±0.86°, but the reflectometer can distinguish local variations in birefringence as small as 0.05° with a distance resolution of 10.8 μm and a dynamic range of 90 dB. Birefringence-sensitive ranging in a wave plate, an electro-optic modulator, and a calf coronary artery is demonstrated.","container-title":"Journal of the Optical Society of America B","DOI":"10.1364/JOSAB.9.000903","issue":"6","journalAbbreviation":"J. Opt. Soc. Am. B","note":"Cited by 0527","page":"903-908","source":"Optical Society of America","title":"Polarization-sensitive low-coherence reflectometer for birefringence characterization and ranging","volume":"9","author":[{"family":"Hee","given":"Michael R."},{"family":"Huang","given":"David"},{"family":"Swanson","given":"Eric A."},{"family":"Fujimoto","given":"James G."}],"issued":{"date-parts":[["1992",6,1]]}}},{"id":5806,"uris":["http://zotero.org/users/700235/items/JES97HSP"],"itemData":{"id":5806,"type":"article-journal","abstract":"We demonstrate cross-sectional birefringence- and polarization-independent backscatter imaging of laser-induced thermal damage in porcine myocardium in vitro, using a polarization-sensitive optical coherence tomography system. We compare the generated images with histological sections of the tissue and demonstrate that birefringence is a more sensitive indicator of thermal damage than is backscattered light. Loss of birefringence in thermally damaged regions is quantified and shown to have significant contrast with undamaged sections of the tissue. A detailed theoretical analysis of the birefringence measurements is provided, including a calculation of the systematic errors associated with background noise, system imperfections, and tissue dichroism.","container-title":"Applied Optics","DOI":"10.1364/AO.37.006026","issue":"25","journalAbbreviation":"Appl. Opt.","note":"PMID: 18286100","page":"6026-6036","source":"Optical Society of America","title":"Mapping of Birefringence and Thermal Damage in Tissue by use of Polarization-Sensitive Optical Coherence Tomography","volume":"37","author":[{"family":"Schoenenberger","given":"Klaus"},{"family":"Colston","given":"Bill W."},{"family":"Maitland","given":"Duncan J."},{"family":"Da Silva","given":"Luiz B."},{"family":"Everett","given":"Matthew J."}],"issued":{"date-parts":[["1998",9,1]]}}},{"id":5668,"uris":["http://zotero.org/users/700235/items/SIWT292W"],"itemData":{"id":5668,"type":"article-journal","abstract":"We present an improved method of polarization sensitive optical coherence tomography that enables measurement and imaging of backscattered intensity, birefringence, and fast optic axis orientation simultaneously with only one single A-scan per transverse measurement location. While intensity and birefringence data are obtained in a conventional way, the optic axis orientation is determined from the phase difference recorded in two orthogonal polarization channels. We report on accuracy and precision of the method by measuring birefringence and optic axis orientation of well defined polarization states in a technical object and present maps of birefringence and, what we believe for the first time, of optic axis orientation in biological tissue.","container-title":"Optics Express","DOI":"10.1364/OE.9.000780","issue":"13","journalAbbreviation":"Opt. Express","note":"00316","page":"780-790","source":"Optical Society of America","title":"Measurement and imaging of birefringence and optic axis orientation by phase resolved polarization sensitive optical coherence tomography","volume":"9","author":[{"family":"Hitzenberger","given":"Christoph"},{"family":"Goetzinger","given":"Erich"},{"family":"Sticker","given":"Markus"},{"family":"Pircher","given":"Michael"},{"family":"Fercher","given":"Adolf"}],"issued":{"date-parts":[["2001",12,17]]}}}],"schema":"https://github.com/citation-style-language/schema/raw/master/csl-citation.json"} </w:instrText>
      </w:r>
      <w:r w:rsidRPr="00880A2D">
        <w:fldChar w:fldCharType="separate"/>
      </w:r>
      <w:r w:rsidRPr="00E02F61">
        <w:rPr>
          <w:szCs w:val="24"/>
        </w:rPr>
        <w:t> [5–7]</w:t>
      </w:r>
      <w:r w:rsidRPr="00880A2D">
        <w:fldChar w:fldCharType="end"/>
      </w:r>
      <w:r w:rsidRPr="00880A2D">
        <w:t xml:space="preserve"> </w:t>
      </w:r>
      <w:r>
        <w:t xml:space="preserve">but using both bulk and fiber optic for the following reasons: 1. the cube beamsplitters have robust performance, less wavelength dependency and open-air space, allowing for detailed system characterization and polarization control, and 2. Combining the </w:t>
      </w:r>
      <w:r w:rsidRPr="00880A2D">
        <w:t>SMF</w:t>
      </w:r>
      <w:r>
        <w:t xml:space="preserve"> with the paddle polarization controller (PPC)</w:t>
      </w:r>
      <w:r w:rsidRPr="00880A2D">
        <w:t xml:space="preserve"> </w:t>
      </w:r>
      <w:r>
        <w:t xml:space="preserve">allows the flexible control of its polarization state without introducing ghost images. Since its working principle can be found elsewhere, we describe our approach from a practical perspective, including system design, implementation, and calibration process. </w:t>
      </w:r>
    </w:p>
    <w:p w14:paraId="28B9FE62" w14:textId="77777777" w:rsidR="004C6BF8" w:rsidRDefault="004C6BF8" w:rsidP="004C6BF8">
      <w:pPr>
        <w:pStyle w:val="10BodySubsequentParagraph"/>
      </w:pPr>
      <w:r>
        <w:t xml:space="preserve">We utilized </w:t>
      </w:r>
      <w:r w:rsidRPr="00880A2D">
        <w:t xml:space="preserve">a polarization-maintaining (PM) fiber-coupled </w:t>
      </w:r>
      <w:proofErr w:type="spellStart"/>
      <w:r w:rsidRPr="00880A2D">
        <w:t>superluminescent</w:t>
      </w:r>
      <w:proofErr w:type="spellEnd"/>
      <w:r w:rsidRPr="00880A2D">
        <w:t xml:space="preserve"> diode (λ=790.1 +/- 22.4 nm, output power of 18 </w:t>
      </w:r>
      <w:proofErr w:type="spellStart"/>
      <w:r w:rsidRPr="00880A2D">
        <w:t>mW</w:t>
      </w:r>
      <w:proofErr w:type="spellEnd"/>
      <w:r w:rsidRPr="00880A2D">
        <w:t xml:space="preserve">, M-S-785-B-I-15-PM, </w:t>
      </w:r>
      <w:proofErr w:type="spellStart"/>
      <w:r w:rsidRPr="00880A2D">
        <w:t>Superlum</w:t>
      </w:r>
      <w:proofErr w:type="spellEnd"/>
      <w:r w:rsidRPr="00880A2D">
        <w:t>)</w:t>
      </w:r>
      <w:r>
        <w:t xml:space="preserve"> </w:t>
      </w:r>
      <w:r w:rsidRPr="00880A2D">
        <w:t>for the OCT imaging and the AO beacon</w:t>
      </w:r>
      <w:r>
        <w:t xml:space="preserve">, enabling both amplitude-and phase-stable optical measurement. </w:t>
      </w:r>
      <w:r w:rsidRPr="00880A2D">
        <w:t xml:space="preserve">The linearly polarized light from the source was coupled into the slow axis of </w:t>
      </w:r>
      <w:r>
        <w:t xml:space="preserve">the </w:t>
      </w:r>
      <w:r w:rsidRPr="00880A2D">
        <w:t>PM fiber (PM 850, polarization crosstalk of -40 dB). Then</w:t>
      </w:r>
      <w:r>
        <w:t>, the light was</w:t>
      </w:r>
      <w:r w:rsidRPr="00880A2D">
        <w:t xml:space="preserve"> collimated by a </w:t>
      </w:r>
      <w:proofErr w:type="spellStart"/>
      <w:r w:rsidRPr="00880A2D">
        <w:t>FiberPort</w:t>
      </w:r>
      <w:proofErr w:type="spellEnd"/>
      <w:r w:rsidRPr="00880A2D">
        <w:t xml:space="preserve"> (PAF2A-A10B, Thorlabs) with a 1/e</w:t>
      </w:r>
      <w:r w:rsidRPr="00880A2D">
        <w:rPr>
          <w:vertAlign w:val="superscript"/>
        </w:rPr>
        <w:t xml:space="preserve">2 </w:t>
      </w:r>
      <w:r w:rsidRPr="00880A2D">
        <w:t xml:space="preserve">beam waist diameter of 2 mm. The collimated </w:t>
      </w:r>
      <w:r>
        <w:t xml:space="preserve">and vertically polarized </w:t>
      </w:r>
      <w:r w:rsidRPr="00880A2D">
        <w:t xml:space="preserve">light from the </w:t>
      </w:r>
      <w:proofErr w:type="spellStart"/>
      <w:r w:rsidRPr="00880A2D">
        <w:t>FiberPort</w:t>
      </w:r>
      <w:proofErr w:type="spellEnd"/>
      <w:r w:rsidRPr="00880A2D">
        <w:t xml:space="preserve"> was split into halves by a non-polarization cube </w:t>
      </w:r>
      <w:proofErr w:type="spellStart"/>
      <w:r w:rsidRPr="00880A2D">
        <w:t>beamsplitter</w:t>
      </w:r>
      <w:proofErr w:type="spellEnd"/>
      <w:r w:rsidRPr="00880A2D">
        <w:t xml:space="preserve"> (BS; BS008, Thorlabs). The reflected light enter</w:t>
      </w:r>
      <w:r>
        <w:t>ed</w:t>
      </w:r>
      <w:r w:rsidRPr="00880A2D">
        <w:t xml:space="preserve"> the </w:t>
      </w:r>
      <w:r>
        <w:t xml:space="preserve">AO </w:t>
      </w:r>
      <w:r w:rsidRPr="00880A2D">
        <w:t>sample arm</w:t>
      </w:r>
      <w:r>
        <w:t xml:space="preserve">, whereas </w:t>
      </w:r>
      <w:r w:rsidRPr="00880A2D">
        <w:t>the transmitted light enter</w:t>
      </w:r>
      <w:r>
        <w:t>ed</w:t>
      </w:r>
      <w:r w:rsidRPr="00880A2D">
        <w:t xml:space="preserve"> the reference ar</w:t>
      </w:r>
      <w:r>
        <w:t xml:space="preserve">m. </w:t>
      </w:r>
    </w:p>
    <w:p w14:paraId="0260AE2D" w14:textId="77777777" w:rsidR="004C6BF8" w:rsidRDefault="004C6BF8" w:rsidP="004C6BF8">
      <w:pPr>
        <w:pStyle w:val="10BodySubsequentParagraph"/>
      </w:pPr>
      <w:r w:rsidRPr="00880A2D">
        <w:t>In the sample</w:t>
      </w:r>
      <w:r>
        <w:t xml:space="preserve"> illumination/detection path</w:t>
      </w:r>
      <w:r w:rsidRPr="00880A2D">
        <w:t xml:space="preserve">, the light </w:t>
      </w:r>
      <w:r>
        <w:t>reflected from the BS was</w:t>
      </w:r>
      <w:r w:rsidRPr="00880A2D">
        <w:t xml:space="preserve"> </w:t>
      </w:r>
      <w:r>
        <w:t xml:space="preserve">first </w:t>
      </w:r>
      <w:r w:rsidRPr="00880A2D">
        <w:t>circularly polarized by an achromatic quarter waveplate (QWP; FBRP-AQ2, Thorlabs) with its fast axis oriented at 45°. Then, the circularly polarized light was coupled into the single mode (SM) fibe</w:t>
      </w:r>
      <w:r>
        <w:t xml:space="preserve">r (780HP), where a </w:t>
      </w:r>
      <w:r w:rsidRPr="00880A2D">
        <w:t xml:space="preserve">PPC was placed so that </w:t>
      </w:r>
      <w:r>
        <w:t xml:space="preserve">the rest of the sample illumination path could mimic a polarization rotator. Therefore, the light incident on the eye was circularly polarized. The axis ratio, </w:t>
      </w:r>
      <w:r w:rsidRPr="00880A2D">
        <w:t xml:space="preserve">defined as </w:t>
      </w:r>
      <w:r>
        <w:t xml:space="preserve">the </w:t>
      </w:r>
      <w:r w:rsidRPr="00880A2D">
        <w:t xml:space="preserve">amplitude ratio of the major and minor axis, was </w:t>
      </w:r>
      <w:r>
        <w:t>0.</w:t>
      </w:r>
      <w:r w:rsidRPr="00880A2D">
        <w:t>99</w:t>
      </w:r>
      <w:r>
        <w:t xml:space="preserve"> at the eye. Then, the light beam reaching the eye was focused onto the back of the eye and scanned by two high-speed galvanometric scanning mirrors (</w:t>
      </w:r>
      <w:r w:rsidRPr="00CD2D4E">
        <w:t>Saturn 5B 56S</w:t>
      </w:r>
      <w:r>
        <w:t xml:space="preserve">; </w:t>
      </w:r>
      <w:proofErr w:type="spellStart"/>
      <w:r>
        <w:t>ScannerMAX</w:t>
      </w:r>
      <w:proofErr w:type="spellEnd"/>
      <w:r>
        <w:t>). T</w:t>
      </w:r>
      <w:r w:rsidRPr="00880A2D">
        <w:t>he backscattered light</w:t>
      </w:r>
      <w:r>
        <w:t xml:space="preserve"> from the sample traveled back the same illumination path</w:t>
      </w:r>
      <w:r w:rsidRPr="00880A2D">
        <w:t xml:space="preserve"> in the sample arm</w:t>
      </w:r>
      <w:r>
        <w:t>, re</w:t>
      </w:r>
      <w:r w:rsidRPr="00880A2D">
        <w:t>coupled into the SM fiber</w:t>
      </w:r>
      <w:r>
        <w:t xml:space="preserve">, and </w:t>
      </w:r>
      <w:r w:rsidRPr="00880A2D">
        <w:t>re-entered into the</w:t>
      </w:r>
      <w:r>
        <w:t xml:space="preserve"> QWP and then the</w:t>
      </w:r>
      <w:r w:rsidRPr="00880A2D">
        <w:t xml:space="preserve"> </w:t>
      </w:r>
      <w:r>
        <w:t xml:space="preserve">BS where the returned light recombined with the reference beam. </w:t>
      </w:r>
    </w:p>
    <w:p w14:paraId="5206AD24" w14:textId="77777777" w:rsidR="004C6BF8" w:rsidRPr="00A031C9" w:rsidRDefault="004C6BF8" w:rsidP="004C6BF8">
      <w:pPr>
        <w:pStyle w:val="10BodySubsequentParagraph"/>
      </w:pPr>
      <w:r w:rsidRPr="00880A2D">
        <w:t xml:space="preserve">In the reference </w:t>
      </w:r>
      <w:r>
        <w:t>illumination/detection path</w:t>
      </w:r>
      <w:r w:rsidRPr="00880A2D">
        <w:t xml:space="preserve">, </w:t>
      </w:r>
      <w:r>
        <w:t>the light first transmitted through the BS was coupled into the SM fiber (780HP) and delivered to the reference arm. The light traveled the same path length in the air as the sample arm, recoupled into the SM fiber, and then re-entered the BS where the light recombined with the sample beam. We</w:t>
      </w:r>
      <w:r w:rsidRPr="00880A2D">
        <w:t xml:space="preserve"> adjust</w:t>
      </w:r>
      <w:r>
        <w:t>ed</w:t>
      </w:r>
      <w:r w:rsidRPr="00880A2D">
        <w:t xml:space="preserve"> the PPC</w:t>
      </w:r>
      <w:r>
        <w:t xml:space="preserve"> placed on the SM fiber in the reference arm to match the spectrum shape and power between the two </w:t>
      </w:r>
      <w:r>
        <w:lastRenderedPageBreak/>
        <w:t xml:space="preserve">polarization channels </w:t>
      </w:r>
      <w:r w:rsidRPr="004C6277">
        <w:t xml:space="preserve">by which the rest </w:t>
      </w:r>
      <w:r>
        <w:t xml:space="preserve">of the </w:t>
      </w:r>
      <w:r w:rsidRPr="004C6277">
        <w:t xml:space="preserve">reference </w:t>
      </w:r>
      <w:r>
        <w:t xml:space="preserve">illumination/detection </w:t>
      </w:r>
      <w:r w:rsidRPr="004C6277">
        <w:t xml:space="preserve">path can mimic the </w:t>
      </w:r>
      <w:r>
        <w:t>Q</w:t>
      </w:r>
      <w:r w:rsidRPr="004C6277">
        <w:t xml:space="preserve">WP </w:t>
      </w:r>
      <w:r>
        <w:t xml:space="preserve">(or half waveplate (HWP) in the doubled pass) </w:t>
      </w:r>
      <w:r w:rsidRPr="004C6277">
        <w:t>with its fast axis oriented at 22.5°</w:t>
      </w:r>
      <w:r>
        <w:t>.</w:t>
      </w:r>
    </w:p>
    <w:p w14:paraId="652D3224" w14:textId="77777777" w:rsidR="004C6BF8" w:rsidRDefault="004C6BF8" w:rsidP="004C6BF8">
      <w:pPr>
        <w:pStyle w:val="10BodySubsequentParagraph"/>
      </w:pPr>
      <w:r w:rsidRPr="00880A2D">
        <w:t xml:space="preserve">The recombined light </w:t>
      </w:r>
      <w:r>
        <w:t>was</w:t>
      </w:r>
      <w:r w:rsidRPr="00880A2D">
        <w:t xml:space="preserve"> </w:t>
      </w:r>
      <w:r>
        <w:t xml:space="preserve">then </w:t>
      </w:r>
      <w:r w:rsidRPr="00880A2D">
        <w:t xml:space="preserve">split into its p-and s-polarization components by a polarization cube </w:t>
      </w:r>
      <w:proofErr w:type="spellStart"/>
      <w:r w:rsidRPr="00880A2D">
        <w:t>beamsplitter</w:t>
      </w:r>
      <w:proofErr w:type="spellEnd"/>
      <w:r w:rsidRPr="00880A2D">
        <w:t xml:space="preserve"> (PBS; FBT-FBS052, Thorlabs</w:t>
      </w:r>
      <w:r>
        <w:t xml:space="preserve">), each filtered by their respective linear polarizers (LP; LPNIR, Thorlabs), coupled into their respective SM fibers (SM-600), and delivered to their respective </w:t>
      </w:r>
      <w:r w:rsidRPr="00880A2D">
        <w:t>spectromete</w:t>
      </w:r>
      <w:r>
        <w:t xml:space="preserve">rs (Cobra-S 800; Wasatch Photonics). The spectral interferogram was formed if the optical path length (OPL) difference of the lights returned from the reference and sample path was within the maximum depth range determined by the spectral resolution of the spectrometer. With the polarization diversity detection, the orthogonal components of the spectral interferogram were simultaneously acquired at a speed of 250 kHz with 3.29 µs exposure by their respective high-speed frame grabbers (10 bit; 2048 pixels/line). Of note, despite the manufacturing effort in matching two spectrometers, the measured spectral interferograms were not matched well in the wavenumber domain, and thus, we corrected for residual error using </w:t>
      </w:r>
      <w:proofErr w:type="spellStart"/>
      <w:r>
        <w:t>Mujat</w:t>
      </w:r>
      <w:proofErr w:type="spellEnd"/>
      <w:r>
        <w:t xml:space="preserve"> et al.’s method</w:t>
      </w:r>
      <w:r>
        <w:fldChar w:fldCharType="begin"/>
      </w:r>
      <w:r>
        <w:instrText xml:space="preserve"> ADDIN ZOTERO_ITEM CSL_CITATION {"citationID":"zO7e7nn2","properties":{"formattedCitation":"\\uc0\\u160{}[8]","plainCitation":" [8]","noteIndex":0},"citationItems":[{"id":4108,"uris":["http://zotero.org/users/700235/items/T89SK7US"],"itemData":{"id":4108,"type":"article-journal","abstract":"Accurate wavelength assignment of each spectral element for spectral-domain optical coherence tomography (SD-OCT) and optical frequency domain imaging (OFDI) is required for proper construction of biological tissue cross-sectional images. This becomes more critical for functional extensions of these techniques, especially in polarization-sensitive optical coherence tomography (PS-OCT), where incorrect wavelength assignment between the two orthogonal polarization channels leads to polarization artifacts. We present an autocalibration method for wavelength assignment that does not require separate calibration measurements and that can be applied directly on actual data. Removal of the birefringence artifact is demonstrated in a PS-OCT system with picometer accuracy in the relative wavelength assignment, resulting in a residual phase error of 0.25deg∕100μm. We also demonstrate, for the first time, a quantitative birefringence map of an in vivo human retinal nerve fiber layer.","call-number":"0056","container-title":"Journal of Biomedical Optics","DOI":"10.1117/1.2764460","ISSN":"1083-3668","issue":"4","journalAbbreviation":"J. Biomed. Opt","page":"041205-041205","source":"Silverchair","title":"Autocalibration of spectral-domain optical coherence tomography spectrometers for in vivo quantitative retinal nerve fiber layer birefringence determination","volume":"12","author":[{"family":"Mujat","given":"Mircea"},{"family":"Park","given":"B. Hyle"},{"family":"Cense","given":"Barry"},{"family":"Chen","given":"Teresa C."},{"family":"Boer","given":"Johannes F.","non-dropping-particle":"de"}],"issued":{"date-parts":[["2007",7,1]]}}}],"schema":"https://github.com/citation-style-language/schema/raw/master/csl-citation.json"} </w:instrText>
      </w:r>
      <w:r>
        <w:fldChar w:fldCharType="separate"/>
      </w:r>
      <w:r w:rsidRPr="00E02F61">
        <w:rPr>
          <w:szCs w:val="24"/>
        </w:rPr>
        <w:t> [8]</w:t>
      </w:r>
      <w:r>
        <w:fldChar w:fldCharType="end"/>
      </w:r>
      <w:r>
        <w:t xml:space="preserve">. The AO-OCT volume images were reconstructed from the spectral interferograms using a graphic processing unit (GPU) from which we computed the reflectance, retardance, optic axis orientation, and angiogram of the sample tissue (see </w:t>
      </w:r>
      <w:r w:rsidRPr="00D90D03">
        <w:rPr>
          <w:color w:val="4F81BD" w:themeColor="accent1"/>
        </w:rPr>
        <w:t>Section</w:t>
      </w:r>
      <w:r>
        <w:rPr>
          <w:color w:val="4F81BD" w:themeColor="accent1"/>
        </w:rPr>
        <w:t xml:space="preserve"> 2.2.2 Offline processing software </w:t>
      </w:r>
      <w:r>
        <w:t>for the details)</w:t>
      </w:r>
      <w:r w:rsidRPr="00682961">
        <w:t>.</w:t>
      </w:r>
      <w:r>
        <w:t xml:space="preserve"> </w:t>
      </w:r>
    </w:p>
    <w:p w14:paraId="5C610A01" w14:textId="71AA2F10" w:rsidR="00152652" w:rsidRPr="00A13FC8" w:rsidRDefault="004C6BF8" w:rsidP="00B00EBF">
      <w:pPr>
        <w:pStyle w:val="10BodySubsequentParagraph"/>
      </w:pPr>
      <w:r>
        <w:t>The OCT engine was operated at the shot-noise-limited sensitivity, which was confirmed by measuring a mirror reflection with an attenuation filter. The total throughput of the OCT engine was approximately 3%, including the fiber coupling efficiency (~60%), the BS (~50%), the PBS (~50%), the LP (~80%), and the spectrometer’s optics (~70%). To measure the sample’s reflectance, we corrected the effect of signal roll-off by a simple normalization method proposed by Häusler &amp; Lindner</w:t>
      </w:r>
      <w:r>
        <w:fldChar w:fldCharType="begin"/>
      </w:r>
      <w:r>
        <w:instrText xml:space="preserve"> ADDIN ZOTERO_ITEM CSL_CITATION {"citationID":"od1E1W2X","properties":{"formattedCitation":"\\uc0\\u160{}[9]","plainCitation":" [9]","noteIndex":0},"citationItems":[{"id":355,"uris":["http://zotero.org/users/700235/items/6M5R9IZJ"],"itemData":{"id":355,"type":"article-journal","container-title":"Journal of Biomedical Optics","DOI":"10.1117/1.429899","issue":"1","page":"21-31","title":"“Coherence Radar” and “Spectral Radar”—New Tools for Dermatological Diagnosis","volume":"3","author":[{"family":"Häusler","given":"Gerd"},{"family":"Lindner","given":"Michael Walter"}],"issued":{"date-parts":[["1998"]]}}}],"schema":"https://github.com/citation-style-language/schema/raw/master/csl-citation.json"} </w:instrText>
      </w:r>
      <w:r>
        <w:fldChar w:fldCharType="separate"/>
      </w:r>
      <w:r w:rsidRPr="00E02F61">
        <w:rPr>
          <w:szCs w:val="24"/>
        </w:rPr>
        <w:t> [9]</w:t>
      </w:r>
      <w:r>
        <w:fldChar w:fldCharType="end"/>
      </w:r>
      <w:r>
        <w:t>, though we used the Voigt function (a convolution of Gaussian and Lorentzian function) to model better the point spread function (PSF) of the spectrometer. Then,</w:t>
      </w:r>
      <w:r w:rsidRPr="00DC5243">
        <w:t xml:space="preserve"> </w:t>
      </w:r>
      <w:r>
        <w:t>we derived normalized amplitude reflectance in percent by accounting for the total loss in the sample detection path. To measure the polarization property of the sample, we implemented a calibration process for the PPCs to ensure the input beam was circularly polarized. The calibration was performed before every 2-hour imaging session so that the overall polarization state of the instrument was consistent throughout all the experiments. The calibration was needed because the polarization state of SMF is vulnerable to various environmental factors such as temperature change and external force, and thus not stable for an extended period (like a day). Also, note that this calibration corrected for the residual polarization aberrations in both the AO sample arm and reference arm, though residual errors could be compensated numerically</w:t>
      </w:r>
      <w:r>
        <w:fldChar w:fldCharType="begin"/>
      </w:r>
      <w:r>
        <w:instrText xml:space="preserve"> ADDIN ZOTERO_ITEM CSL_CITATION {"citationID":"ZUo9XSGV","properties":{"formattedCitation":"\\uc0\\u160{}[10]","plainCitation":" [10]","noteIndex":0},"citationItems":[{"id":13894,"uris":["http://zotero.org/users/700235/items/P7FG3EAR",["http://zotero.org/users/700235/items/P7FG3EAR"]],"itemData":{"id":13894,"type":"article-journal","abstract":"In previous publications we have reported on polarization-sensitive optical coherence tomography (PS-OCT) systems that measure and image retardation and axis orientation of birefringent samples with only a single input polarization state. This method requires that the sample is illuminated by circularly polarized light. In the case of retinal imaging, the retina is measured through the birefringent cornea, which causes a deviation of the sampling beam from the circular polarization state. To obtain undistorted birefringence patterns of the retina by PS-OCT, the corneal birefringence has to be compensated. We report on a software-based corneal birefringence compensation that uses the polarization state of the light backscattered at the retinal surface to measure the corneal birefringence. This information is used to numerically compensate the corneal birefringence. Contrary to hardware-based solutions, our method accounts for local variations of the corneal birefringence. We implemented the method in a state of the art spectral domain PS-OCT system and demonstrate it in a test sample and human retina in vivo.","container-title":"Journal of Biomedical Optics","DOI":"10.1117/1.2771560","ISSN":"1083-3668, 1560-2281","issue":"4","journalAbbreviation":"JBO","note":"publisher: International Society for Optics and Photonics\nPMID: 17867799","page":"041210","source":"www-spiedigitallibrary-org.proxyiub.uits.iu.edu","title":"Corneal birefringence compensation for polarization sensitive optical coherence tomography of the human retina","volume":"12","author":[{"family":"Pircher","given":"Michael"},{"family":"Götzinger","given":"Erich"},{"family":"Baumann","given":"Bernhard"},{"family":"Hitzenberger","given":"Christoph K."}],"issued":{"date-parts":[["2007",7]]}}}],"schema":"https://github.com/citation-style-language/schema/raw/master/csl-citation.json"} </w:instrText>
      </w:r>
      <w:r>
        <w:fldChar w:fldCharType="separate"/>
      </w:r>
      <w:r w:rsidRPr="00E02F61">
        <w:rPr>
          <w:szCs w:val="24"/>
        </w:rPr>
        <w:t> [10]</w:t>
      </w:r>
      <w:r>
        <w:fldChar w:fldCharType="end"/>
      </w:r>
      <w:r>
        <w:t>.</w:t>
      </w:r>
    </w:p>
    <w:p w14:paraId="63F2E532" w14:textId="59EE4A34" w:rsidR="00AC0A79" w:rsidRDefault="00AC0A79" w:rsidP="00AC0A79">
      <w:pPr>
        <w:pStyle w:val="08SectionHeader2"/>
      </w:pPr>
      <w:r>
        <w:t xml:space="preserve">1.2 </w:t>
      </w:r>
      <w:r w:rsidR="00134D11">
        <w:t>AO</w:t>
      </w:r>
      <w:r w:rsidR="00134D11" w:rsidRPr="00880A2D">
        <w:t xml:space="preserve"> </w:t>
      </w:r>
      <w:r w:rsidR="00134D11">
        <w:t xml:space="preserve">sample arm: </w:t>
      </w:r>
    </w:p>
    <w:p w14:paraId="7FE691CE" w14:textId="28DB0CA6" w:rsidR="00134D11" w:rsidRDefault="00134D11" w:rsidP="00B402B9">
      <w:pPr>
        <w:pStyle w:val="09BodyFirstParagraph"/>
      </w:pPr>
      <w:r w:rsidRPr="00C72BDC">
        <w:rPr>
          <w:b/>
          <w:bCs/>
          <w:color w:val="4F81BD" w:themeColor="accent1"/>
        </w:rPr>
        <w:t xml:space="preserve">Figure </w:t>
      </w:r>
      <w:r w:rsidR="005F4697">
        <w:rPr>
          <w:b/>
          <w:bCs/>
          <w:color w:val="4F81BD" w:themeColor="accent1"/>
        </w:rPr>
        <w:t>2</w:t>
      </w:r>
      <w:r w:rsidRPr="00C72BDC">
        <w:rPr>
          <w:b/>
          <w:bCs/>
          <w:color w:val="4F81BD" w:themeColor="accent1"/>
        </w:rPr>
        <w:t xml:space="preserve"> (right)</w:t>
      </w:r>
      <w:r w:rsidRPr="00C72BDC">
        <w:rPr>
          <w:b/>
          <w:bCs/>
        </w:rPr>
        <w:t xml:space="preserve"> </w:t>
      </w:r>
      <w:r w:rsidRPr="0049438F">
        <w:t xml:space="preserve">shows the schematic of </w:t>
      </w:r>
      <w:r>
        <w:t xml:space="preserve">the </w:t>
      </w:r>
      <w:r w:rsidRPr="0049438F">
        <w:t xml:space="preserve">AO subsystem. The AO corrects monochromatic ocular aberrations </w:t>
      </w:r>
      <w:r>
        <w:t xml:space="preserve">dynamically with feedback control </w:t>
      </w:r>
      <w:r w:rsidRPr="0049438F">
        <w:fldChar w:fldCharType="begin"/>
      </w:r>
      <w:r w:rsidR="00AF77D4">
        <w:instrText xml:space="preserve"> ADDIN ZOTERO_ITEM CSL_CITATION {"citationID":"NTw4rHdz","properties":{"formattedCitation":"\\uc0\\u160{}[11,12]","plainCitation":" [11,12]","noteIndex":0},"citationItems":[{"id":3091,"uris":["http://zotero.org/users/700235/items/GTK2RTQE",["http://zotero.org/users/700235/items/GTK2RTQE"]],"itemData":{"id":3091,"type":"book","call-number":"0000","edition":"1","ISBN":"0-471-67941-0","number-of-pages":"628","publisher":"Wiley-Interscience","source":"Amazon.com","title":"Adaptive Optics for Vision Science: Principles, Practices, Design and Applications","title-short":"Adaptive Optics for Vision Science","author":[{"family":"Porter","given":"Jason"},{"family":"Queener","given":"Hope"},{"family":"Lin","given":"Julianna"},{"family":"Thorn","given":"Karen"},{"family":"Awwal","given":"Abdul A. S."}],"issued":{"date-parts":[["2006",7,18]]}}},{"id":"qhgIH2RW/5huuMhwo","uris":["http://zotero.org/users/700235/items/L75BAAXK",["http://zotero.org/users/700235/items/L75BAAXK"]],"itemData":{"id":15720,"type":"article-journal","abstract":"Adaptive optics (AO) is a technique that corrects for optical aberrations. It was originally proposed to correct for the blurring effect of atmospheric turbulence on images in ground-based telescopes and was instrumental in the work that resulted in the Nobel prize-winning discovery of a supermassive compact object at the centre of our galaxy. When AO is used to correct for the eye’s imperfect optics, retinal changes at the cellular level can be detected, allowing us to study the operation of the visual system and to assess ocular health in the microscopic domain. By correcting for sample-induced blur in microscopy, AO has pushed the boundaries of imaging in thick tissue specimens, such as when observing neuronal processes in the brain. In this primer, we focus on the application of AO for high-resolution imaging in astronomy, vision science and microscopy. We begin with an overview of the general principles of AO and its main components, which include methods to measure the aberrations, devices for aberration correction, and how these components are linked in operation. We present results and applications from each field along with reproducibility considerations and limitations. Finally, we discuss future directions.","container-title":"Nature Reviews Methods Primers","DOI":"10.1038/s43586-021-00066-7","ISSN":"2662-8449","issue":"1","journalAbbreviation":"Nat Rev Methods Primers","language":"en","note":"Bandiera_abtest: a\nCg_type: Nature Research Journals\nnumber: 1\nPrimary_atype: Reviews\npublisher: Nature Publishing Group\nSubject_term: Imaging techniques;Optical physics\nSubject_term_id: imaging-techniques;optical-physics","page":"1-26","source":"www-nature-com.proxyiub.uits.iu.edu","title":"Adaptive optics for high-resolution imaging","volume":"1","author":[{"family":"Hampson","given":"Karen M."},{"family":"Turcotte","given":"Raphaël"},{"family":"Miller","given":"Donald T."},{"family":"Kurokawa","given":"Kazuhiro"},{"family":"Males","given":"Jared R."},{"family":"Ji","given":"Na"},{"family":"Booth","given":"Martin J."}],"issued":{"date-parts":[["2021",10,14]]}}}],"schema":"https://github.com/citation-style-language/schema/raw/master/csl-citation.json"} </w:instrText>
      </w:r>
      <w:r w:rsidRPr="0049438F">
        <w:fldChar w:fldCharType="separate"/>
      </w:r>
      <w:r w:rsidRPr="00E02F61">
        <w:rPr>
          <w:szCs w:val="24"/>
        </w:rPr>
        <w:t> [11,12]</w:t>
      </w:r>
      <w:r w:rsidRPr="0049438F">
        <w:fldChar w:fldCharType="end"/>
      </w:r>
      <w:r>
        <w:t xml:space="preserve">. For wavefront correction, we used a </w:t>
      </w:r>
      <w:r w:rsidRPr="0049438F">
        <w:t>high-stroke deformation mirror with 97 actuators (</w:t>
      </w:r>
      <w:r>
        <w:t xml:space="preserve">DM; DM97 with high-stroke option; </w:t>
      </w:r>
      <w:r w:rsidRPr="0049438F">
        <w:t>ALPAO)</w:t>
      </w:r>
      <w:r>
        <w:t xml:space="preserve"> that can correct</w:t>
      </w:r>
      <w:r w:rsidRPr="0049438F">
        <w:t xml:space="preserve"> </w:t>
      </w:r>
      <w:r>
        <w:t xml:space="preserve">for </w:t>
      </w:r>
      <w:r w:rsidRPr="0049438F">
        <w:t>most</w:t>
      </w:r>
      <w:r>
        <w:t xml:space="preserve"> </w:t>
      </w:r>
      <w:r w:rsidRPr="0049438F">
        <w:t xml:space="preserve">aberrations across </w:t>
      </w:r>
      <w:r>
        <w:t xml:space="preserve">a </w:t>
      </w:r>
      <w:r w:rsidRPr="0049438F">
        <w:t>7.1 mm pupi</w:t>
      </w:r>
      <w:r>
        <w:t xml:space="preserve">l in the general population. We placed the DM closer to the eye in the AO sample arm by accounting for high refractive errors. For wavefront sensing, we used an in-house </w:t>
      </w:r>
      <w:r w:rsidRPr="0049438F">
        <w:t xml:space="preserve">Shack-Hartmann wavefront sensor </w:t>
      </w:r>
      <w:r>
        <w:t xml:space="preserve">(SHWS) </w:t>
      </w:r>
      <w:r w:rsidRPr="0049438F">
        <w:t xml:space="preserve">with </w:t>
      </w:r>
      <w:r>
        <w:t>437</w:t>
      </w:r>
      <w:r w:rsidRPr="0049438F">
        <w:t xml:space="preserve"> </w:t>
      </w:r>
      <w:proofErr w:type="spellStart"/>
      <w:r w:rsidRPr="0049438F">
        <w:t>lenslets</w:t>
      </w:r>
      <w:proofErr w:type="spellEnd"/>
      <w:r>
        <w:t xml:space="preserve"> to detect a tenth of the light backscattered from the eye, split by a customized dichroic mirror (DIM1 at the angle of incidence (AOI) =5</w:t>
      </w:r>
      <w:r w:rsidRPr="004C6277">
        <w:t>°</w:t>
      </w:r>
      <w:r>
        <w:t xml:space="preserve">, R/T = 90/10 at 790 nm with polarization-independent design; T&gt;90% at visible light; </w:t>
      </w:r>
      <w:proofErr w:type="spellStart"/>
      <w:r>
        <w:t>Alluxa</w:t>
      </w:r>
      <w:proofErr w:type="spellEnd"/>
      <w:r>
        <w:t xml:space="preserve">). The in-house SHWS consisted of an off-the-shelf </w:t>
      </w:r>
      <w:proofErr w:type="spellStart"/>
      <w:r>
        <w:t>lenslet</w:t>
      </w:r>
      <w:proofErr w:type="spellEnd"/>
      <w:r>
        <w:t xml:space="preserve"> array (300 µm pitch, f = 8.7 mm; MALS11; Newport) and a CMOS camera (</w:t>
      </w:r>
      <w:r w:rsidRPr="000E2D05">
        <w:t>HB-1800-S-M</w:t>
      </w:r>
      <w:r>
        <w:t>; Emergent Vision). In front of the SHWS, we installed several optics as follows: (1) a QWP and an LP to reduce specular reflections from the optical surfaces, (2) a band-pass filter (</w:t>
      </w:r>
      <w:r w:rsidRPr="007947EC">
        <w:t>FF01-762/64-25</w:t>
      </w:r>
      <w:r>
        <w:t xml:space="preserve">; </w:t>
      </w:r>
      <w:proofErr w:type="spellStart"/>
      <w:r>
        <w:t>Semrock</w:t>
      </w:r>
      <w:proofErr w:type="spellEnd"/>
      <w:r>
        <w:t>) to minimize unwanted light coming into the sensor, and (3) DIM2 (</w:t>
      </w:r>
      <w:r w:rsidRPr="00753281">
        <w:t>FF662-FDi01</w:t>
      </w:r>
      <w:r>
        <w:t xml:space="preserve">; </w:t>
      </w:r>
      <w:proofErr w:type="spellStart"/>
      <w:r>
        <w:t>Semrock</w:t>
      </w:r>
      <w:proofErr w:type="spellEnd"/>
      <w:r>
        <w:t>) to reflect 95% of visible light for the fluorescence/stimulation channel and transmits 95% of the AO beacon beam for the wavefront sensing. Of note,</w:t>
      </w:r>
      <w:r w:rsidRPr="00471DD8">
        <w:t xml:space="preserve"> </w:t>
      </w:r>
      <w:r>
        <w:t xml:space="preserve">non-common path aberrations of these optics in the SHWS arm were small </w:t>
      </w:r>
      <w:r>
        <w:lastRenderedPageBreak/>
        <w:t>and had no significant impact on the AO performance because the reference coordinates of the SHWS spots were measured using a flat mirror reflection placed after the DIM1.</w:t>
      </w:r>
    </w:p>
    <w:p w14:paraId="4B747A6E" w14:textId="509A625B" w:rsidR="00134D11" w:rsidRPr="009E2087" w:rsidRDefault="00134D11" w:rsidP="00B402B9">
      <w:pPr>
        <w:pStyle w:val="10BodySubsequentParagraph"/>
      </w:pPr>
      <w:r>
        <w:t xml:space="preserve">Perhaps the most remarkable feature in </w:t>
      </w:r>
      <w:r w:rsidRPr="00C72BDC">
        <w:rPr>
          <w:b/>
          <w:bCs/>
          <w:color w:val="4F81BD" w:themeColor="accent1"/>
        </w:rPr>
        <w:t>Fig</w:t>
      </w:r>
      <w:r w:rsidR="003F7185">
        <w:rPr>
          <w:b/>
          <w:bCs/>
          <w:color w:val="4F81BD" w:themeColor="accent1"/>
        </w:rPr>
        <w:t>.</w:t>
      </w:r>
      <w:r w:rsidRPr="00C72BDC">
        <w:rPr>
          <w:b/>
          <w:bCs/>
          <w:color w:val="4F81BD" w:themeColor="accent1"/>
        </w:rPr>
        <w:t xml:space="preserve"> </w:t>
      </w:r>
      <w:r w:rsidR="005F4697">
        <w:rPr>
          <w:b/>
          <w:bCs/>
          <w:color w:val="4F81BD" w:themeColor="accent1"/>
        </w:rPr>
        <w:t>2</w:t>
      </w:r>
      <w:r w:rsidRPr="00C72BDC">
        <w:rPr>
          <w:b/>
          <w:bCs/>
          <w:color w:val="4F81BD" w:themeColor="accent1"/>
        </w:rPr>
        <w:t xml:space="preserve"> (right)</w:t>
      </w:r>
      <w:r w:rsidRPr="0049438F">
        <w:t xml:space="preserve"> </w:t>
      </w:r>
      <w:r>
        <w:t>is the</w:t>
      </w:r>
      <w:r w:rsidRPr="0049438F">
        <w:t xml:space="preserve"> </w:t>
      </w:r>
      <w:r>
        <w:t>four</w:t>
      </w:r>
      <w:r w:rsidRPr="0049438F">
        <w:t xml:space="preserve"> reflective off-axis afocal relay telescopes</w:t>
      </w:r>
      <w:r>
        <w:t xml:space="preserve"> that relay the optical wavefront from the eye’s pupil to DM, GMs, and SHWS. The reflective telescopes</w:t>
      </w:r>
      <w:r w:rsidRPr="0049438F">
        <w:t xml:space="preserve"> have ideal properties compared to refractive afocal telescopes (e.g., loss-less mirrors, no chromatic dispersion, and no specular reflection</w:t>
      </w:r>
      <w:r>
        <w:t xml:space="preserve">), but they </w:t>
      </w:r>
      <w:r w:rsidRPr="0049438F">
        <w:t>accumulate off-axis aberrations</w:t>
      </w:r>
      <w:r>
        <w:t xml:space="preserve"> (astigmatism and coma)</w:t>
      </w:r>
      <w:r w:rsidRPr="0049438F">
        <w:t xml:space="preserve">, causing beam wobbling (beam displacement) at the </w:t>
      </w:r>
      <w:r>
        <w:t xml:space="preserve">eye’s </w:t>
      </w:r>
      <w:r w:rsidRPr="0049438F">
        <w:t>pupil conjugate plane</w:t>
      </w:r>
      <w:r>
        <w:t xml:space="preserve"> </w:t>
      </w:r>
      <w:r w:rsidRPr="0049438F">
        <w:t>and sacrificing the dynamic range of DM for correcting the</w:t>
      </w:r>
      <w:r>
        <w:t xml:space="preserve"> ocular</w:t>
      </w:r>
      <w:r w:rsidRPr="0049438F">
        <w:t xml:space="preserve"> aberrations. </w:t>
      </w:r>
      <w:r>
        <w:t xml:space="preserve">They also accumulate polarization aberrations due to the protective silver coating on the mirrors when all mirrors are aligned in the plane. </w:t>
      </w:r>
    </w:p>
    <w:p w14:paraId="6D20716E" w14:textId="640C5DE9" w:rsidR="00B402B9" w:rsidRDefault="00134D11" w:rsidP="00ED50CB">
      <w:pPr>
        <w:pStyle w:val="10BodySubsequentParagraph"/>
      </w:pPr>
      <w:r w:rsidRPr="0049438F">
        <w:t>We</w:t>
      </w:r>
      <w:r>
        <w:t>, therefore, corrected for off-axis aberrations by deploying the straightforward approach</w:t>
      </w:r>
      <w:r w:rsidRPr="0049438F">
        <w:t xml:space="preserve"> that folds one of the spherical mirrors vertically for each telescope</w:t>
      </w:r>
      <w:r>
        <w:t xml:space="preserve"> </w:t>
      </w:r>
      <w:r w:rsidRPr="0049438F">
        <w:fldChar w:fldCharType="begin"/>
      </w:r>
      <w:r w:rsidR="00AF77D4">
        <w:instrText xml:space="preserve"> ADDIN ZOTERO_ITEM CSL_CITATION {"citationID":"N1hYpxNo","properties":{"unsorted":true,"formattedCitation":"\\uc0\\u160{}[13\\uc0\\u8211{}17]","plainCitation":" [13–17]","noteIndex":0},"citationItems":[{"id":245,"uris":["http://zotero.org/users/700235/items/2N6NT9F3",["http://zotero.org/users/700235/items/2N6NT9F3"]],"itemData":{"id":245,"type":"article-journal","abstract":"A confocal scanning imager moves an illumination spot over the object and a (virtual) detector synchronously over the image. In the confocal scanning laser ophthalmoscope this is accomplished by reusing the source optics for detection. The common optical elements are all mirrors—either flat or spherical—and the scanners are positioned to compensate astigmatism due to mirror tilt. The source beam aperture at the horizontal scanner is small. Light returning from the eye is processed by the same elements, but now the polygon’s facet is overfilled. A solid-state detector may be at either a pupillary or retinal conjugate plane in the descanned beam and still have proper throughput matching. Our 1-mm avalanche photodiode at a pupillary plane is preceded by interchangeable stops at an image (retinal) plane. Not only can we reject scattered light to a degree unusual for viewing the retina, but we choose selectively among direct and scattered components of the light returning from the eye. One (of many) consequences is that this ophthalmoscope gives crisp and complete retinal images in He-Ne light without dilation of the pupil.","call-number":"0473","container-title":"Applied Optics","DOI":"10.1364/AO.26.001492","issue":"8","journalAbbreviation":"Appl. Opt.","note":"PMID: 20454349","page":"1492-1499","source":"Optical Society of America","title":"Confocal scanning laser ophthalmoscope","volume":"26","author":[{"family":"Webb","given":"Robert H."},{"family":"Hughes","given":"George W."},{"family":"Delori","given":"Francois C."}],"issued":{"date-parts":[["1987",4,15]]}}},{"id":"qhgIH2RW/TKIF8Ebp","uris":["http://zotero.org/users/700235/items/ZSUR6TF3",["http://zotero.org/users/700235/items/ZSUR6TF3"]],"itemData":{"id":1148,"type":"article-journal","container-title":"J. Opt. Soc. Am. A","issue":"5","page":"1313–1326","title":"Large-field-of-view, modular, stabilized, adaptive-optics-based scanning laser ophthalmoscope","volume":"24","author":[{"family":"Burns","given":"Stephen A."},{"family":"Tumbar","given":"Remy"},{"family":"Elsner","given":"Ann E."},{"family":"Ferguson","given":"Daniel"},{"family":"Hammer","given":"Daniel X."}],"issued":{"date-parts":[["2007"]]}}},{"id":608,"uris":["http://zotero.org/users/700235/items/FHNZE8IS",["http://zotero.org/users/700235/items/FHNZE8IS"]],"itemData":{"id":608,"type":"article-journal","abstract":"Expressions for minimal astigmatism in image and pupil planes in off-axis afocal reflective telescopes formed by pairs of spherical mirrors are presented. These formulae which are derived from the marginal ray fan equation can be used for designing laser cavities, spectrographs and adaptive optics retinal imaging systems. The use, range and validity of these formulae are limited by spherical aberration and coma for small and large angles respectively. This is discussed using examples from adaptive optics retinal imaging systems. The performance of the resulting optical designs are evaluated and compared against the configurations with minimal wavefront RMS, using the defocus-corrected wavefront RMS as a metric.","container-title":"Opt. Express","DOI":"10.1364/oe.17.018906","issue":"21","note":"PMID: 20372626","page":"18906–18919","title":"First-order design of off-axis reflective ophthalmic adaptive optics systems using afocal telescopes","volume":"17","author":[{"family":"Gómez-Vieyra","given":"Armando"},{"family":"Dubra","given":"Alfredo"},{"family":"Malacara-Hernández","given":"Daniel"},{"family":"Williams","given":"David R."}],"issued":{"date-parts":[["2009"]]}}},{"id":462,"uris":["http://zotero.org/users/700235/items/9VJRTRNE",["http://zotero.org/users/700235/items/9VJRTRNE"]],"itemData":{"id":462,"type":"article-journal","container-title":"Opt. Express","DOI":"10.1364/oe.18.001406","issue":"2","note":"PMID: 20173968","page":"1406–1418","title":"Adaptive optics retinal scanner for one-micrometer light source","volume":"18","author":[{"family":"Kurokawa","given":"Kazuhiro"},{"family":"Tamada","given":"Daiki"},{"family":"Makita","given":"Shuichi"},{"family":"Yasuno","given":"Yoshiaki"}],"issued":{"date-parts":[["2010"]]}}},{"id":12784,"uris":["http://zotero.org/users/700235/items/9BAFR7D7",["http://zotero.org/users/700235/items/9BAFR7D7"]],"itemData":{"id":12784,"type":"article-journal","abstract":"In vivo two-photon imaging through the pupil of the primate eye has the potential to become a useful tool for functional imaging of the retina. Two-photon excited fluorescence images of the macaque cone mosaic were obtained using a fluorescence adaptive optics scanning laser ophthalmoscope, overcoming the challenges of a low numerical aperture, imperfect optics of the eye, high required light levels, and eye motion. Although the specific fluorophores are as yet unknown, strong in vivo intrinsic fluorescence allowed images of the cone mosaic. Imaging intact ex vivo retina revealed that the strongest two-photon excited fluorescence signal comes from the cone inner segments. The fluorescence response increased following light stimulation, which could provide a functional measure of the effects of light on photoreceptors.","container-title":"Biomedical Optics Express","DOI":"10.1364/BOE.2.000139","ISSN":"2156-7085","issue":"1","journalAbbreviation":"Biomed. Opt. Express, BOE","language":"EN","license":"&amp;#169; 2010 OSA","note":"publisher: Optical Society of America\nPMID: 21326644","page":"139-148","source":"www-osapublishing-org.proxyiub.uits.iu.edu","title":"Images of photoreceptors in living primate eyes using adaptive optics two-photon ophthalmoscopy","volume":"2","author":[{"family":"Hunter","given":"Jennifer J."},{"family":"Masella","given":"Benjamin"},{"family":"Dubra","given":"Alfredo"},{"family":"Sharma","given":"Robin"},{"family":"Yin","given":"Lu"},{"family":"Merigan","given":"William H."},{"family":"Palczewska","given":"Grazyna"},{"family":"Palczewski","given":"Krzysztof"},{"family":"Williams","given":"David R."}],"issued":{"date-parts":[["2011",1,1]]}}}],"schema":"https://github.com/citation-style-language/schema/raw/master/csl-citation.json"} </w:instrText>
      </w:r>
      <w:r w:rsidRPr="0049438F">
        <w:fldChar w:fldCharType="separate"/>
      </w:r>
      <w:r w:rsidRPr="00E02F61">
        <w:rPr>
          <w:szCs w:val="24"/>
        </w:rPr>
        <w:t> [13–17]</w:t>
      </w:r>
      <w:r w:rsidRPr="0049438F">
        <w:fldChar w:fldCharType="end"/>
      </w:r>
      <w:r>
        <w:t xml:space="preserve">, which can </w:t>
      </w:r>
      <w:r w:rsidRPr="0049438F">
        <w:t xml:space="preserve">effectively </w:t>
      </w:r>
      <w:r>
        <w:t>balance</w:t>
      </w:r>
      <w:r w:rsidRPr="0049438F">
        <w:t xml:space="preserve"> out polarization aberrations as well</w:t>
      </w:r>
      <w:r>
        <w:t xml:space="preserve"> </w:t>
      </w:r>
      <w:r w:rsidRPr="0049438F">
        <w:fldChar w:fldCharType="begin"/>
      </w:r>
      <w:r>
        <w:instrText xml:space="preserve"> ADDIN ZOTERO_ITEM CSL_CITATION {"citationID":"6A74Z3Pl","properties":{"formattedCitation":"\\uc0\\u160{}[18]","plainCitation":" [18]","noteIndex":0},"citationItems":[{"id":14496,"uris":["http://zotero.org/users/700235/items/4DDRV4F2",["http://zotero.org/users/700235/items/4DDRV4F2"]],"itemData":{"id":14496,"type":"article-journal","abstract":"The polarization aberrations of a fold mirror can be compensated by orienting a second fold mirror&amp;#x2019;s p-polarization with the first mirror&amp;#x2019;s s-polarization. This crossed-mirror configuration compensates the polarization for a single angle to zero and leaves a linear variation of diattenuation and retardance for a spherical wavefront. Two sets of crossed fold mirrors when properly oriented compensate the remaining linear variation and leave a much reduced quadratic variation in a large compensated field of view.","container-title":"Applied Optics","DOI":"10.1364/AO.54.003236","ISSN":"2155-3165","issue":"11","journalAbbreviation":"Appl. Opt., AO","language":"EN","license":"&amp;#169; 2015 Optical Society of America","note":"publisher: Optical Society of America\nPMID: 25967309","page":"3236-3245","source":"www-osapublishing-org.proxyiub.uits.iu.edu","title":"Balancing polarization aberrations in crossed fold mirrors","volume":"54","author":[{"family":"Lam","given":"Wai Sze Tiffany"},{"family":"Chipman","given":"Russell"}],"issued":{"date-parts":[["2015",4,10]]}}}],"schema":"https://github.com/citation-style-language/schema/raw/master/csl-citation.json"} </w:instrText>
      </w:r>
      <w:r w:rsidRPr="0049438F">
        <w:fldChar w:fldCharType="separate"/>
      </w:r>
      <w:r w:rsidRPr="00E02F61">
        <w:rPr>
          <w:szCs w:val="24"/>
        </w:rPr>
        <w:t> [18]</w:t>
      </w:r>
      <w:r w:rsidRPr="0049438F">
        <w:fldChar w:fldCharType="end"/>
      </w:r>
      <w:r w:rsidRPr="0049438F">
        <w:t>.</w:t>
      </w:r>
      <w:r>
        <w:t xml:space="preserve"> To realize this, we first prototyped the optical system using </w:t>
      </w:r>
      <w:r w:rsidRPr="0049438F">
        <w:t>optical design software (</w:t>
      </w:r>
      <w:proofErr w:type="spellStart"/>
      <w:r w:rsidRPr="0049438F">
        <w:t>Zemax</w:t>
      </w:r>
      <w:proofErr w:type="spellEnd"/>
      <w:r>
        <w:t xml:space="preserve"> </w:t>
      </w:r>
      <w:proofErr w:type="spellStart"/>
      <w:r>
        <w:t>OpticStudio</w:t>
      </w:r>
      <w:proofErr w:type="spellEnd"/>
      <w:r w:rsidRPr="0049438F">
        <w:t>)</w:t>
      </w:r>
      <w:r>
        <w:t xml:space="preserve">. </w:t>
      </w:r>
      <w:r w:rsidRPr="00441E66">
        <w:rPr>
          <w:b/>
          <w:bCs/>
          <w:color w:val="4F81BD" w:themeColor="accent1"/>
        </w:rPr>
        <w:t xml:space="preserve">Table </w:t>
      </w:r>
      <w:r w:rsidR="00476800" w:rsidRPr="00441E66">
        <w:rPr>
          <w:b/>
          <w:bCs/>
          <w:color w:val="4F81BD" w:themeColor="accent1"/>
        </w:rPr>
        <w:t>S</w:t>
      </w:r>
      <w:r w:rsidR="00810138">
        <w:rPr>
          <w:color w:val="4F81BD" w:themeColor="accent1"/>
        </w:rPr>
        <w:t>1</w:t>
      </w:r>
      <w:r w:rsidRPr="000268F3">
        <w:rPr>
          <w:color w:val="4F81BD" w:themeColor="accent1"/>
        </w:rPr>
        <w:t xml:space="preserve"> </w:t>
      </w:r>
      <w:r>
        <w:t xml:space="preserve">summarizes the details of the reflective off-axis relay telescope design comprised of 8 custom-ordered spherical mirrors with a protective silver coating (Knight Optical Inc). </w:t>
      </w:r>
      <w:r w:rsidR="003438A2" w:rsidRPr="00441E66">
        <w:rPr>
          <w:b/>
          <w:bCs/>
          <w:color w:val="4F81BD" w:themeColor="accent1"/>
        </w:rPr>
        <w:t>Fig</w:t>
      </w:r>
      <w:r w:rsidR="00A3533C" w:rsidRPr="00441E66">
        <w:rPr>
          <w:b/>
          <w:bCs/>
          <w:color w:val="4F81BD" w:themeColor="accent1"/>
        </w:rPr>
        <w:t>ure</w:t>
      </w:r>
      <w:r w:rsidR="003438A2" w:rsidRPr="00441E66">
        <w:rPr>
          <w:b/>
          <w:bCs/>
          <w:color w:val="4F81BD" w:themeColor="accent1"/>
        </w:rPr>
        <w:t xml:space="preserve"> S</w:t>
      </w:r>
      <w:r w:rsidRPr="00441E66">
        <w:rPr>
          <w:b/>
          <w:bCs/>
          <w:color w:val="4F81BD" w:themeColor="accent1"/>
        </w:rPr>
        <w:t>1</w:t>
      </w:r>
      <w:r>
        <w:t xml:space="preserve"> outlines a part of </w:t>
      </w:r>
      <w:proofErr w:type="spellStart"/>
      <w:r>
        <w:t>Zemax</w:t>
      </w:r>
      <w:proofErr w:type="spellEnd"/>
      <w:r>
        <w:t xml:space="preserve"> simulation results, characterizing the optical performance of the designed telescopes. </w:t>
      </w:r>
      <w:r w:rsidRPr="0049438F">
        <w:t xml:space="preserve">Our </w:t>
      </w:r>
      <w:r>
        <w:t>design</w:t>
      </w:r>
      <w:r w:rsidRPr="0049438F">
        <w:t xml:space="preserve"> achieved the diffraction-limited performance (Strehl ratio &gt; 0.97) over 2.8° × 2.8° field of view </w:t>
      </w:r>
      <w:r>
        <w:t xml:space="preserve">(FOV) </w:t>
      </w:r>
      <w:r w:rsidRPr="0049438F">
        <w:t xml:space="preserve">without </w:t>
      </w:r>
      <w:r>
        <w:t>tilting</w:t>
      </w:r>
      <w:r w:rsidRPr="00495D08">
        <w:t xml:space="preserve"> any active optical components</w:t>
      </w:r>
      <w:r w:rsidRPr="0049438F">
        <w:t xml:space="preserve"> </w:t>
      </w:r>
      <w:r>
        <w:t xml:space="preserve">at the pupil conjugate plane </w:t>
      </w:r>
      <w:r w:rsidRPr="0049438F">
        <w:t xml:space="preserve">under the constraint that the angle of incidence is less than 6°. The beam wobbling </w:t>
      </w:r>
      <w:r>
        <w:t>was</w:t>
      </w:r>
      <w:r w:rsidRPr="0049438F">
        <w:t xml:space="preserve"> negligible (&lt;0.</w:t>
      </w:r>
      <w:r>
        <w:t>085</w:t>
      </w:r>
      <w:r w:rsidRPr="0049438F">
        <w:t xml:space="preserve"> mm), </w:t>
      </w:r>
      <w:r>
        <w:t>approximately 3.5</w:t>
      </w:r>
      <w:r w:rsidRPr="0049438F">
        <w:t xml:space="preserve"> times smaller than each </w:t>
      </w:r>
      <w:proofErr w:type="spellStart"/>
      <w:r w:rsidRPr="0049438F">
        <w:t>lenslet</w:t>
      </w:r>
      <w:proofErr w:type="spellEnd"/>
      <w:r w:rsidRPr="0049438F">
        <w:t xml:space="preserve"> siz</w:t>
      </w:r>
      <w:r>
        <w:t xml:space="preserve">e. With protective silver coating (Material name: PROTECTIVE_SILVER) on all the mirror surfaces in </w:t>
      </w:r>
      <w:proofErr w:type="spellStart"/>
      <w:r>
        <w:t>Zemax</w:t>
      </w:r>
      <w:proofErr w:type="spellEnd"/>
      <w:r>
        <w:t>, t</w:t>
      </w:r>
      <w:r w:rsidRPr="0049438F">
        <w:t>he</w:t>
      </w:r>
      <w:r>
        <w:t xml:space="preserve"> </w:t>
      </w:r>
      <w:r w:rsidRPr="0049438F">
        <w:t>diattenuation was 0.00</w:t>
      </w:r>
      <w:r>
        <w:t>2</w:t>
      </w:r>
      <w:r w:rsidRPr="0049438F">
        <w:t>, ten times</w:t>
      </w:r>
      <w:r>
        <w:t xml:space="preserve"> less</w:t>
      </w:r>
      <w:r w:rsidRPr="0049438F">
        <w:t xml:space="preserve"> </w:t>
      </w:r>
      <w:r>
        <w:t xml:space="preserve">or </w:t>
      </w:r>
      <w:r w:rsidRPr="0049438F">
        <w:t xml:space="preserve">smaller than corneal diattenuation (~0.03 reported in </w:t>
      </w:r>
      <w:r>
        <w:t xml:space="preserve">the </w:t>
      </w:r>
      <w:r w:rsidRPr="0049438F">
        <w:t>bovine cornea</w:t>
      </w:r>
      <w:r>
        <w:t xml:space="preserve"> </w:t>
      </w:r>
      <w:r w:rsidRPr="0049438F">
        <w:fldChar w:fldCharType="begin"/>
      </w:r>
      <w:r>
        <w:instrText xml:space="preserve"> ADDIN ZOTERO_ITEM CSL_CITATION {"citationID":"2KKdK2JP","properties":{"formattedCitation":"\\uc0\\u160{}[19]","plainCitation":" [19]","noteIndex":0},"citationItems":[{"id":14132,"uris":["http://zotero.org/users/700235/items/HR83HM7N",["http://zotero.org/users/700235/items/HR83HM7N"]],"itemData":{"id":14132,"type":"article-journal","abstract":"Spatially resolved polarization properties of in vitro mammalian corneas have been studied by using a Mueller-matrix imaging polarimeter in transmission mode. Sixteen images corresponding to independent combinations of polarization states in the illumination and analyzing pathways are recorded. Spatially resolved Mueller matrices of the samples are calculated from them. Results show that the birefringence of the cornea is almost linear. Although the magnitude of retardation depends on the sample, it is approximately constant at the center and increases towards the periphery. Dichroism and polarizing power are negligible. Maps of the degree of polarization indicate that the cornea basically does not depolarize the totally polarized incident light.","container-title":"Ophthalmic and Physiological Optics","DOI":"10.1046/j.1475-1313.2001.00601.x","ISSN":"1475-1313","issue":"5","language":"en","note":"_eprint: https://onlinelibrary.wiley.com/doi/pdf/10.1046/j.1475-1313.2001.00601.x\nPMID: 11563426","page":"384-392","source":"Wiley Online Library","title":"Spatially resolved polarization properties for in vitro corneas","volume":"21","author":[{"family":"Bueno","given":"Juan M."},{"family":"Jaronski","given":"Jaroslaw"}],"issued":{"date-parts":[["2001"]]}}}],"schema":"https://github.com/citation-style-language/schema/raw/master/csl-citation.json"} </w:instrText>
      </w:r>
      <w:r w:rsidRPr="0049438F">
        <w:fldChar w:fldCharType="separate"/>
      </w:r>
      <w:r w:rsidRPr="00E02F61">
        <w:rPr>
          <w:szCs w:val="24"/>
        </w:rPr>
        <w:t> [19]</w:t>
      </w:r>
      <w:r w:rsidRPr="0049438F">
        <w:fldChar w:fldCharType="end"/>
      </w:r>
      <w:r w:rsidRPr="0049438F">
        <w:t>), negligible in PS-OCT measurement</w:t>
      </w:r>
      <w:r>
        <w:t>s</w:t>
      </w:r>
      <w:r w:rsidRPr="0049438F">
        <w:fldChar w:fldCharType="begin"/>
      </w:r>
      <w:r w:rsidR="00AF77D4">
        <w:instrText xml:space="preserve"> ADDIN ZOTERO_ITEM CSL_CITATION {"citationID":"CCtJJyti","properties":{"unsorted":true,"formattedCitation":"\\uc0\\u160{}[10,20,21]","plainCitation":" [10,20,21]","noteIndex":0},"citationItems":[{"id":13894,"uris":["http://zotero.org/users/700235/items/P7FG3EAR",["http://zotero.org/users/700235/items/P7FG3EAR"]],"itemData":{"id":13894,"type":"article-journal","abstract":"In previous publications we have reported on polarization-sensitive optical coherence tomography (PS-OCT) systems that measure and image retardation and axis orientation of birefringent samples with only a single input polarization state. This method requires that the sample is illuminated by circularly polarized light. In the case of retinal imaging, the retina is measured through the birefringent cornea, which causes a deviation of the sampling beam from the circular polarization state. To obtain undistorted birefringence patterns of the retina by PS-OCT, the corneal birefringence has to be compensated. We report on a software-based corneal birefringence compensation that uses the polarization state of the light backscattered at the retinal surface to measure the corneal birefringence. This information is used to numerically compensate the corneal birefringence. Contrary to hardware-based solutions, our method accounts for local variations of the corneal birefringence. We implemented the method in a state of the art spectral domain PS-OCT system and demonstrate it in a test sample and human retina in vivo.","container-title":"Journal of Biomedical Optics","DOI":"10.1117/1.2771560","ISSN":"1083-3668, 1560-2281","issue":"4","journalAbbreviation":"JBO","note":"publisher: International Society for Optics and Photonics\nPMID: 17867799","page":"041210","source":"www-spiedigitallibrary-org.proxyiub.uits.iu.edu","title":"Corneal birefringence compensation for polarization sensitive optical coherence tomography of the human retina","volume":"12","author":[{"family":"Pircher","given":"Michael"},{"family":"Götzinger","given":"Erich"},{"family":"Baumann","given":"Bernhard"},{"family":"Hitzenberger","given":"Christoph K."}],"issued":{"date-parts":[["2007",7]]}}},{"id":"qhgIH2RW/5hEARoa9","uris":["http://zotero.org/users/700235/items/TC8R7ST2",["http://zotero.org/users/700235/items/TC8R7ST2"]],"itemData":{"id":972,"type":"article-journal","container-title":"Opt. Express","issue":"24","page":"21634–21651","title":"Retinal imaging with polarization-sensitive optical coherence tomography and adaptive optics","volume":"17","author":[{"family":"Cense","given":"Barry"},{"family":"Gao","given":"Weihua"},{"family":"Brown","given":"Jeffrey M."},{"family":"Jones","given":"Steven M."},{"family":"Jonnal","given":"Ravi S."},{"family":"Mujat","given":"Mircea"},{"family":"Park","given":"B. Hyle"},{"family":"Boer","given":"Johannes F.","dropping-particle":"de"},{"family":"Miller","given":"Donald T."}],"issued":{"date-parts":[["2009"]]}}},{"id":4805,"uris":["http://zotero.org/users/700235/items/ND578JAC",["http://zotero.org/users/700235/items/ND578JAC"]],"itemData":{"id":4805,"type":"article-journal","abstract":"An advanced version of Jones matrix optical coherence tomography (JMT) is demonstrated for Doppler and polarization sensitive imaging of the posterior eye. JMT is capable of providing localized flow tomography by Doppler detection and investigating the birefringence property of tissue through a three-dimensional (3-D) Jones matrix measurement. Owing to an incident polarization multiplexing scheme based on passive optical components, this system is stable, safe in a clinical environment, and cost effective. Since the properties of this version of JMT provide intrinsic compensation for system imperfection, the system is easy to calibrate. Compared with the previous version of JMT, this advanced JMT achieves a sufficiently long depth measurement range for clinical cases of posterior eye disease. Furthermore, a fine spectral shift compensation method based on the cross-correlation of calibration signals was devised for stabilizing the phase of OCT, which enables a high sensitivity Doppler OCT measurement. In addition, a new theory of JMT which integrates the Jones matrix measurement, Doppler measurement, and scattering measurement is presented. This theory enables a sensitivity-enhanced scattering OCT and high-sensitivity Doppler OCT. These new features enable the application of this system to clinical cases. A healthy subject and a geographic atrophy patient were measured in vivo, and simultaneous imaging of choroidal vasculature and birefringence structures are demonstrated.","container-title":"Optics Express","DOI":"10.1364/OE.21.019412","issue":"16","journalAbbreviation":"Opt. Express","note":"PMID: 23938857","page":"19412-19436","source":"Optical Society of America","title":"Advanced multi-contrast Jones matrix optical coherence tomography for Doppler and polarization sensitive imaging","volume":"21","author":[{"family":"Ju","given":"Myeong Jin"},{"family":"Hong","given":"Young-Joo"},{"family":"Makita","given":"Shuichi"},{"family":"Lim","given":"Yiheng"},{"family":"Kurokawa","given":"Kazuhiro"},{"family":"Duan","given":"Lian"},{"family":"Miura","given":"Masahiro"},{"family":"Tang","given":"Shuo"},{"family":"Yasuno","given":"Yoshiaki"}],"issued":{"date-parts":[["2013",8,12]]}}}],"schema":"https://github.com/citation-style-language/schema/raw/master/csl-citation.json"} </w:instrText>
      </w:r>
      <w:r w:rsidRPr="0049438F">
        <w:fldChar w:fldCharType="separate"/>
      </w:r>
      <w:r w:rsidRPr="00E02F61">
        <w:rPr>
          <w:szCs w:val="24"/>
        </w:rPr>
        <w:t> [10,20,21]</w:t>
      </w:r>
      <w:r w:rsidRPr="0049438F">
        <w:fldChar w:fldCharType="end"/>
      </w:r>
      <w:r w:rsidRPr="003B42D5">
        <w:t xml:space="preserve">. </w:t>
      </w:r>
      <w:r w:rsidRPr="00FF1D05">
        <w:t xml:space="preserve">With the optical design, we carefully </w:t>
      </w:r>
      <w:r>
        <w:t>chose</w:t>
      </w:r>
      <w:r w:rsidRPr="00FF1D05">
        <w:t xml:space="preserve"> the optomechanical component for each optic </w:t>
      </w:r>
      <w:r>
        <w:t>with</w:t>
      </w:r>
      <w:r w:rsidRPr="00FF1D05">
        <w:t xml:space="preserve"> 3D CAD software (Autodesk Fusion 360) and aligned the optics accordingly.</w:t>
      </w:r>
      <w:r>
        <w:t xml:space="preserve"> </w:t>
      </w:r>
    </w:p>
    <w:p w14:paraId="1F247647" w14:textId="626D50C6" w:rsidR="00134D11" w:rsidRPr="00C8132C" w:rsidRDefault="00134D11" w:rsidP="00B402B9">
      <w:pPr>
        <w:pStyle w:val="14TableCaption"/>
      </w:pPr>
      <w:r w:rsidRPr="00C8132C">
        <w:t xml:space="preserve">Table </w:t>
      </w:r>
      <w:r w:rsidR="00476800">
        <w:t>S</w:t>
      </w:r>
      <w:r w:rsidR="00950D7C">
        <w:t>1</w:t>
      </w:r>
      <w:r w:rsidRPr="00C8132C">
        <w:t xml:space="preserve">. Summary of the telescope design. </w:t>
      </w:r>
    </w:p>
    <w:tbl>
      <w:tblPr>
        <w:tblW w:w="53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9"/>
        <w:gridCol w:w="921"/>
        <w:gridCol w:w="990"/>
        <w:gridCol w:w="990"/>
        <w:gridCol w:w="900"/>
      </w:tblGrid>
      <w:tr w:rsidR="00362204" w:rsidRPr="006218BE" w14:paraId="2FBCD989" w14:textId="77777777" w:rsidTr="00362204">
        <w:trPr>
          <w:trHeight w:val="512"/>
          <w:jc w:val="center"/>
        </w:trPr>
        <w:tc>
          <w:tcPr>
            <w:tcW w:w="1509" w:type="dxa"/>
            <w:tcBorders>
              <w:top w:val="single" w:sz="4" w:space="0" w:color="auto"/>
              <w:left w:val="nil"/>
              <w:bottom w:val="single" w:sz="4" w:space="0" w:color="auto"/>
              <w:right w:val="nil"/>
            </w:tcBorders>
            <w:shd w:val="clear" w:color="auto" w:fill="auto"/>
            <w:vAlign w:val="center"/>
            <w:hideMark/>
          </w:tcPr>
          <w:p w14:paraId="54DA465A" w14:textId="77777777" w:rsidR="00134D11" w:rsidRPr="00B402B9" w:rsidRDefault="00134D11" w:rsidP="00B402B9">
            <w:pPr>
              <w:pStyle w:val="15TableBody"/>
              <w:rPr>
                <w:b/>
                <w:bCs/>
              </w:rPr>
            </w:pPr>
          </w:p>
        </w:tc>
        <w:tc>
          <w:tcPr>
            <w:tcW w:w="921" w:type="dxa"/>
            <w:tcBorders>
              <w:top w:val="single" w:sz="4" w:space="0" w:color="auto"/>
              <w:left w:val="nil"/>
              <w:bottom w:val="single" w:sz="4" w:space="0" w:color="auto"/>
              <w:right w:val="nil"/>
            </w:tcBorders>
            <w:shd w:val="clear" w:color="auto" w:fill="auto"/>
            <w:vAlign w:val="center"/>
            <w:hideMark/>
          </w:tcPr>
          <w:p w14:paraId="54C9CC40" w14:textId="77777777" w:rsidR="00134D11" w:rsidRPr="00B402B9" w:rsidRDefault="00134D11" w:rsidP="00B402B9">
            <w:pPr>
              <w:pStyle w:val="15TableBody"/>
              <w:rPr>
                <w:b/>
                <w:bCs/>
              </w:rPr>
            </w:pPr>
            <w:r w:rsidRPr="00B402B9">
              <w:rPr>
                <w:b/>
                <w:bCs/>
              </w:rPr>
              <w:t>1/e2 beam diameter [mm]</w:t>
            </w:r>
          </w:p>
        </w:tc>
        <w:tc>
          <w:tcPr>
            <w:tcW w:w="990" w:type="dxa"/>
            <w:tcBorders>
              <w:top w:val="single" w:sz="4" w:space="0" w:color="auto"/>
              <w:left w:val="nil"/>
              <w:bottom w:val="single" w:sz="4" w:space="0" w:color="auto"/>
              <w:right w:val="nil"/>
            </w:tcBorders>
            <w:shd w:val="clear" w:color="auto" w:fill="auto"/>
            <w:vAlign w:val="center"/>
            <w:hideMark/>
          </w:tcPr>
          <w:p w14:paraId="5CADA01F" w14:textId="4C68DD5E" w:rsidR="00134D11" w:rsidRPr="00B402B9" w:rsidRDefault="00134D11" w:rsidP="00B402B9">
            <w:pPr>
              <w:pStyle w:val="15TableBody"/>
              <w:rPr>
                <w:b/>
                <w:bCs/>
              </w:rPr>
            </w:pPr>
            <w:r w:rsidRPr="00B402B9">
              <w:rPr>
                <w:b/>
                <w:bCs/>
              </w:rPr>
              <w:t>Radi</w:t>
            </w:r>
            <w:r w:rsidR="00B75E1C">
              <w:rPr>
                <w:b/>
                <w:bCs/>
              </w:rPr>
              <w:t>us</w:t>
            </w:r>
            <w:r w:rsidRPr="00B402B9">
              <w:rPr>
                <w:b/>
                <w:bCs/>
              </w:rPr>
              <w:t xml:space="preserve"> of curvature [mm]</w:t>
            </w:r>
          </w:p>
        </w:tc>
        <w:tc>
          <w:tcPr>
            <w:tcW w:w="990" w:type="dxa"/>
            <w:tcBorders>
              <w:top w:val="single" w:sz="4" w:space="0" w:color="auto"/>
              <w:left w:val="nil"/>
              <w:bottom w:val="single" w:sz="4" w:space="0" w:color="auto"/>
              <w:right w:val="nil"/>
            </w:tcBorders>
            <w:shd w:val="clear" w:color="auto" w:fill="auto"/>
            <w:vAlign w:val="center"/>
            <w:hideMark/>
          </w:tcPr>
          <w:p w14:paraId="0BE49C2F" w14:textId="77777777" w:rsidR="00134D11" w:rsidRPr="00B402B9" w:rsidRDefault="00134D11" w:rsidP="00B402B9">
            <w:pPr>
              <w:pStyle w:val="15TableBody"/>
              <w:rPr>
                <w:b/>
                <w:bCs/>
              </w:rPr>
            </w:pPr>
            <w:r w:rsidRPr="00B402B9">
              <w:rPr>
                <w:b/>
                <w:bCs/>
              </w:rPr>
              <w:t>Incident angle (</w:t>
            </w:r>
            <w:proofErr w:type="spellStart"/>
            <w:r w:rsidRPr="00B402B9">
              <w:rPr>
                <w:b/>
                <w:bCs/>
              </w:rPr>
              <w:t>θx</w:t>
            </w:r>
            <w:proofErr w:type="spellEnd"/>
            <w:r w:rsidRPr="00B402B9">
              <w:rPr>
                <w:b/>
                <w:bCs/>
              </w:rPr>
              <w:t>)</w:t>
            </w:r>
          </w:p>
          <w:p w14:paraId="5C485F29" w14:textId="77777777" w:rsidR="00134D11" w:rsidRPr="00B402B9" w:rsidRDefault="00134D11" w:rsidP="00B402B9">
            <w:pPr>
              <w:pStyle w:val="15TableBody"/>
              <w:rPr>
                <w:b/>
                <w:bCs/>
              </w:rPr>
            </w:pPr>
            <w:r w:rsidRPr="00B402B9">
              <w:rPr>
                <w:b/>
                <w:bCs/>
              </w:rPr>
              <w:t>[degree]</w:t>
            </w:r>
          </w:p>
        </w:tc>
        <w:tc>
          <w:tcPr>
            <w:tcW w:w="900" w:type="dxa"/>
            <w:tcBorders>
              <w:top w:val="single" w:sz="4" w:space="0" w:color="auto"/>
              <w:left w:val="nil"/>
              <w:bottom w:val="single" w:sz="4" w:space="0" w:color="auto"/>
              <w:right w:val="nil"/>
            </w:tcBorders>
            <w:shd w:val="clear" w:color="auto" w:fill="auto"/>
            <w:vAlign w:val="center"/>
            <w:hideMark/>
          </w:tcPr>
          <w:p w14:paraId="5F77888D" w14:textId="77777777" w:rsidR="00134D11" w:rsidRPr="00B402B9" w:rsidRDefault="00134D11" w:rsidP="00B402B9">
            <w:pPr>
              <w:pStyle w:val="15TableBody"/>
              <w:rPr>
                <w:b/>
                <w:bCs/>
              </w:rPr>
            </w:pPr>
            <w:r w:rsidRPr="00B402B9">
              <w:rPr>
                <w:b/>
                <w:bCs/>
              </w:rPr>
              <w:t>Incident angle (</w:t>
            </w:r>
            <w:proofErr w:type="spellStart"/>
            <w:r w:rsidRPr="00B402B9">
              <w:rPr>
                <w:b/>
                <w:bCs/>
              </w:rPr>
              <w:t>θy</w:t>
            </w:r>
            <w:proofErr w:type="spellEnd"/>
            <w:r w:rsidRPr="00B402B9">
              <w:rPr>
                <w:b/>
                <w:bCs/>
              </w:rPr>
              <w:t>)</w:t>
            </w:r>
          </w:p>
          <w:p w14:paraId="07BE6F34" w14:textId="77777777" w:rsidR="00134D11" w:rsidRPr="00B402B9" w:rsidRDefault="00134D11" w:rsidP="00B402B9">
            <w:pPr>
              <w:pStyle w:val="15TableBody"/>
              <w:rPr>
                <w:b/>
                <w:bCs/>
              </w:rPr>
            </w:pPr>
            <w:r w:rsidRPr="00B402B9">
              <w:rPr>
                <w:b/>
                <w:bCs/>
              </w:rPr>
              <w:t>[degree]</w:t>
            </w:r>
          </w:p>
        </w:tc>
      </w:tr>
      <w:tr w:rsidR="00362204" w:rsidRPr="006218BE" w14:paraId="5BA44BAA" w14:textId="77777777" w:rsidTr="00362204">
        <w:trPr>
          <w:trHeight w:val="300"/>
          <w:jc w:val="center"/>
        </w:trPr>
        <w:tc>
          <w:tcPr>
            <w:tcW w:w="1509" w:type="dxa"/>
            <w:tcBorders>
              <w:top w:val="single" w:sz="4" w:space="0" w:color="auto"/>
              <w:left w:val="nil"/>
              <w:bottom w:val="nil"/>
              <w:right w:val="nil"/>
            </w:tcBorders>
            <w:shd w:val="clear" w:color="auto" w:fill="auto"/>
            <w:vAlign w:val="center"/>
            <w:hideMark/>
          </w:tcPr>
          <w:p w14:paraId="7AF226B8" w14:textId="77777777" w:rsidR="00134D11" w:rsidRPr="00B402B9" w:rsidRDefault="00134D11" w:rsidP="00B402B9">
            <w:pPr>
              <w:pStyle w:val="15TableBody"/>
              <w:rPr>
                <w:b/>
                <w:bCs/>
              </w:rPr>
            </w:pPr>
            <w:r w:rsidRPr="00B402B9">
              <w:rPr>
                <w:b/>
                <w:bCs/>
              </w:rPr>
              <w:t>P1</w:t>
            </w:r>
          </w:p>
        </w:tc>
        <w:tc>
          <w:tcPr>
            <w:tcW w:w="921" w:type="dxa"/>
            <w:tcBorders>
              <w:top w:val="single" w:sz="4" w:space="0" w:color="auto"/>
              <w:left w:val="nil"/>
              <w:bottom w:val="nil"/>
              <w:right w:val="nil"/>
            </w:tcBorders>
            <w:shd w:val="clear" w:color="auto" w:fill="auto"/>
            <w:noWrap/>
            <w:vAlign w:val="center"/>
            <w:hideMark/>
          </w:tcPr>
          <w:p w14:paraId="36C46BC3" w14:textId="77777777" w:rsidR="00134D11" w:rsidRPr="00B402B9" w:rsidRDefault="00134D11" w:rsidP="00B402B9">
            <w:pPr>
              <w:pStyle w:val="15TableBody"/>
            </w:pPr>
            <w:r w:rsidRPr="00B402B9">
              <w:t>7.1</w:t>
            </w:r>
          </w:p>
        </w:tc>
        <w:tc>
          <w:tcPr>
            <w:tcW w:w="990" w:type="dxa"/>
            <w:tcBorders>
              <w:top w:val="single" w:sz="4" w:space="0" w:color="auto"/>
              <w:left w:val="nil"/>
              <w:bottom w:val="nil"/>
              <w:right w:val="nil"/>
            </w:tcBorders>
            <w:shd w:val="clear" w:color="auto" w:fill="auto"/>
            <w:noWrap/>
            <w:vAlign w:val="center"/>
            <w:hideMark/>
          </w:tcPr>
          <w:p w14:paraId="2866E8B0" w14:textId="77777777" w:rsidR="00134D11" w:rsidRPr="00B402B9" w:rsidRDefault="00134D11" w:rsidP="00B402B9">
            <w:pPr>
              <w:pStyle w:val="15TableBody"/>
            </w:pPr>
            <w:r w:rsidRPr="00B402B9">
              <w:t>Inf.</w:t>
            </w:r>
          </w:p>
        </w:tc>
        <w:tc>
          <w:tcPr>
            <w:tcW w:w="990" w:type="dxa"/>
            <w:tcBorders>
              <w:top w:val="single" w:sz="4" w:space="0" w:color="auto"/>
              <w:left w:val="nil"/>
              <w:bottom w:val="nil"/>
              <w:right w:val="nil"/>
            </w:tcBorders>
            <w:shd w:val="clear" w:color="auto" w:fill="auto"/>
            <w:noWrap/>
            <w:vAlign w:val="center"/>
            <w:hideMark/>
          </w:tcPr>
          <w:p w14:paraId="0EF98168" w14:textId="77777777" w:rsidR="00134D11" w:rsidRPr="00B402B9" w:rsidRDefault="00134D11" w:rsidP="00B402B9">
            <w:pPr>
              <w:pStyle w:val="15TableBody"/>
            </w:pPr>
            <w:r w:rsidRPr="00B402B9">
              <w:t>0</w:t>
            </w:r>
          </w:p>
        </w:tc>
        <w:tc>
          <w:tcPr>
            <w:tcW w:w="900" w:type="dxa"/>
            <w:tcBorders>
              <w:top w:val="single" w:sz="4" w:space="0" w:color="auto"/>
              <w:left w:val="nil"/>
              <w:bottom w:val="nil"/>
              <w:right w:val="nil"/>
            </w:tcBorders>
            <w:shd w:val="clear" w:color="auto" w:fill="auto"/>
            <w:noWrap/>
            <w:vAlign w:val="center"/>
            <w:hideMark/>
          </w:tcPr>
          <w:p w14:paraId="14E6219D" w14:textId="77777777" w:rsidR="00134D11" w:rsidRPr="00B402B9" w:rsidRDefault="00134D11" w:rsidP="00B402B9">
            <w:pPr>
              <w:pStyle w:val="15TableBody"/>
            </w:pPr>
            <w:r w:rsidRPr="00B402B9">
              <w:t>0</w:t>
            </w:r>
          </w:p>
        </w:tc>
      </w:tr>
      <w:tr w:rsidR="00362204" w:rsidRPr="006218BE" w14:paraId="1BD3CDAA" w14:textId="77777777" w:rsidTr="00362204">
        <w:trPr>
          <w:trHeight w:val="300"/>
          <w:jc w:val="center"/>
        </w:trPr>
        <w:tc>
          <w:tcPr>
            <w:tcW w:w="1509" w:type="dxa"/>
            <w:tcBorders>
              <w:top w:val="nil"/>
              <w:left w:val="nil"/>
              <w:bottom w:val="nil"/>
              <w:right w:val="nil"/>
            </w:tcBorders>
            <w:shd w:val="clear" w:color="auto" w:fill="auto"/>
            <w:vAlign w:val="center"/>
            <w:hideMark/>
          </w:tcPr>
          <w:p w14:paraId="48F7AB79" w14:textId="77777777" w:rsidR="00134D11" w:rsidRPr="00B402B9" w:rsidRDefault="00134D11" w:rsidP="00B402B9">
            <w:pPr>
              <w:pStyle w:val="15TableBody"/>
              <w:rPr>
                <w:b/>
                <w:bCs/>
              </w:rPr>
            </w:pPr>
            <w:r w:rsidRPr="00B402B9">
              <w:rPr>
                <w:b/>
                <w:bCs/>
              </w:rPr>
              <w:t>SM1</w:t>
            </w:r>
          </w:p>
        </w:tc>
        <w:tc>
          <w:tcPr>
            <w:tcW w:w="921" w:type="dxa"/>
            <w:tcBorders>
              <w:top w:val="nil"/>
              <w:left w:val="nil"/>
              <w:bottom w:val="nil"/>
              <w:right w:val="nil"/>
            </w:tcBorders>
            <w:shd w:val="clear" w:color="auto" w:fill="auto"/>
            <w:noWrap/>
            <w:vAlign w:val="center"/>
            <w:hideMark/>
          </w:tcPr>
          <w:p w14:paraId="607A1E51"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47E9EFB4" w14:textId="77777777" w:rsidR="00134D11" w:rsidRPr="00B402B9" w:rsidRDefault="00134D11" w:rsidP="00B402B9">
            <w:pPr>
              <w:pStyle w:val="15TableBody"/>
            </w:pPr>
            <w:r w:rsidRPr="00B402B9">
              <w:t>800</w:t>
            </w:r>
          </w:p>
        </w:tc>
        <w:tc>
          <w:tcPr>
            <w:tcW w:w="990" w:type="dxa"/>
            <w:tcBorders>
              <w:top w:val="nil"/>
              <w:left w:val="nil"/>
              <w:bottom w:val="nil"/>
              <w:right w:val="nil"/>
            </w:tcBorders>
            <w:shd w:val="clear" w:color="auto" w:fill="auto"/>
            <w:noWrap/>
            <w:vAlign w:val="center"/>
            <w:hideMark/>
          </w:tcPr>
          <w:p w14:paraId="749DA3E7" w14:textId="77777777" w:rsidR="00134D11" w:rsidRPr="00B402B9" w:rsidRDefault="00134D11" w:rsidP="00B402B9">
            <w:pPr>
              <w:pStyle w:val="15TableBody"/>
            </w:pPr>
            <w:r w:rsidRPr="00B402B9">
              <w:t>4</w:t>
            </w:r>
          </w:p>
        </w:tc>
        <w:tc>
          <w:tcPr>
            <w:tcW w:w="900" w:type="dxa"/>
            <w:tcBorders>
              <w:top w:val="nil"/>
              <w:left w:val="nil"/>
              <w:bottom w:val="nil"/>
              <w:right w:val="nil"/>
            </w:tcBorders>
            <w:shd w:val="clear" w:color="auto" w:fill="auto"/>
            <w:noWrap/>
            <w:vAlign w:val="center"/>
            <w:hideMark/>
          </w:tcPr>
          <w:p w14:paraId="5EA5DB1D" w14:textId="77777777" w:rsidR="00134D11" w:rsidRPr="00B402B9" w:rsidRDefault="00134D11" w:rsidP="00B402B9">
            <w:pPr>
              <w:pStyle w:val="15TableBody"/>
            </w:pPr>
            <w:r w:rsidRPr="00B402B9">
              <w:t>0</w:t>
            </w:r>
          </w:p>
        </w:tc>
      </w:tr>
      <w:tr w:rsidR="00362204" w:rsidRPr="006218BE" w14:paraId="40CA03F4" w14:textId="77777777" w:rsidTr="00362204">
        <w:trPr>
          <w:trHeight w:val="300"/>
          <w:jc w:val="center"/>
        </w:trPr>
        <w:tc>
          <w:tcPr>
            <w:tcW w:w="1509" w:type="dxa"/>
            <w:tcBorders>
              <w:top w:val="nil"/>
              <w:left w:val="nil"/>
              <w:bottom w:val="nil"/>
              <w:right w:val="nil"/>
            </w:tcBorders>
            <w:shd w:val="clear" w:color="auto" w:fill="auto"/>
            <w:vAlign w:val="center"/>
            <w:hideMark/>
          </w:tcPr>
          <w:p w14:paraId="2785BC57" w14:textId="77777777" w:rsidR="00134D11" w:rsidRPr="00B402B9" w:rsidRDefault="00134D11" w:rsidP="00B402B9">
            <w:pPr>
              <w:pStyle w:val="15TableBody"/>
              <w:rPr>
                <w:b/>
                <w:bCs/>
              </w:rPr>
            </w:pPr>
            <w:r w:rsidRPr="00B402B9">
              <w:rPr>
                <w:b/>
                <w:bCs/>
              </w:rPr>
              <w:t>SM2</w:t>
            </w:r>
          </w:p>
        </w:tc>
        <w:tc>
          <w:tcPr>
            <w:tcW w:w="921" w:type="dxa"/>
            <w:tcBorders>
              <w:top w:val="nil"/>
              <w:left w:val="nil"/>
              <w:bottom w:val="nil"/>
              <w:right w:val="nil"/>
            </w:tcBorders>
            <w:shd w:val="clear" w:color="auto" w:fill="auto"/>
            <w:noWrap/>
            <w:vAlign w:val="center"/>
            <w:hideMark/>
          </w:tcPr>
          <w:p w14:paraId="50971751"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4F6663BA" w14:textId="77777777" w:rsidR="00134D11" w:rsidRPr="00B402B9" w:rsidRDefault="00134D11" w:rsidP="00B402B9">
            <w:pPr>
              <w:pStyle w:val="15TableBody"/>
            </w:pPr>
            <w:r w:rsidRPr="00B402B9">
              <w:t>440</w:t>
            </w:r>
          </w:p>
        </w:tc>
        <w:tc>
          <w:tcPr>
            <w:tcW w:w="990" w:type="dxa"/>
            <w:tcBorders>
              <w:top w:val="nil"/>
              <w:left w:val="nil"/>
              <w:bottom w:val="nil"/>
              <w:right w:val="nil"/>
            </w:tcBorders>
            <w:shd w:val="clear" w:color="auto" w:fill="auto"/>
            <w:noWrap/>
            <w:vAlign w:val="center"/>
            <w:hideMark/>
          </w:tcPr>
          <w:p w14:paraId="260CC697" w14:textId="77777777" w:rsidR="00134D11" w:rsidRPr="00B402B9" w:rsidRDefault="00134D11" w:rsidP="00B402B9">
            <w:pPr>
              <w:pStyle w:val="15TableBody"/>
            </w:pPr>
            <w:r w:rsidRPr="00B402B9">
              <w:t>0</w:t>
            </w:r>
          </w:p>
        </w:tc>
        <w:tc>
          <w:tcPr>
            <w:tcW w:w="900" w:type="dxa"/>
            <w:tcBorders>
              <w:top w:val="nil"/>
              <w:left w:val="nil"/>
              <w:bottom w:val="nil"/>
              <w:right w:val="nil"/>
            </w:tcBorders>
            <w:shd w:val="clear" w:color="auto" w:fill="auto"/>
            <w:noWrap/>
            <w:vAlign w:val="center"/>
            <w:hideMark/>
          </w:tcPr>
          <w:p w14:paraId="532B5789" w14:textId="77777777" w:rsidR="00134D11" w:rsidRPr="00B402B9" w:rsidRDefault="00134D11" w:rsidP="00B402B9">
            <w:pPr>
              <w:pStyle w:val="15TableBody"/>
            </w:pPr>
            <w:r w:rsidRPr="00B402B9">
              <w:t>6</w:t>
            </w:r>
          </w:p>
        </w:tc>
      </w:tr>
      <w:tr w:rsidR="00362204" w:rsidRPr="006218BE" w14:paraId="47C9029E" w14:textId="77777777" w:rsidTr="00362204">
        <w:trPr>
          <w:trHeight w:val="300"/>
          <w:jc w:val="center"/>
        </w:trPr>
        <w:tc>
          <w:tcPr>
            <w:tcW w:w="1509" w:type="dxa"/>
            <w:tcBorders>
              <w:top w:val="nil"/>
              <w:left w:val="nil"/>
              <w:bottom w:val="nil"/>
              <w:right w:val="nil"/>
            </w:tcBorders>
            <w:shd w:val="clear" w:color="auto" w:fill="auto"/>
            <w:vAlign w:val="center"/>
            <w:hideMark/>
          </w:tcPr>
          <w:p w14:paraId="210671AC" w14:textId="77777777" w:rsidR="00134D11" w:rsidRPr="00B402B9" w:rsidRDefault="00134D11" w:rsidP="00B402B9">
            <w:pPr>
              <w:pStyle w:val="15TableBody"/>
              <w:rPr>
                <w:b/>
                <w:bCs/>
              </w:rPr>
            </w:pPr>
            <w:r w:rsidRPr="00B402B9">
              <w:rPr>
                <w:b/>
                <w:bCs/>
              </w:rPr>
              <w:t>GM1*</w:t>
            </w:r>
          </w:p>
        </w:tc>
        <w:tc>
          <w:tcPr>
            <w:tcW w:w="921" w:type="dxa"/>
            <w:tcBorders>
              <w:top w:val="nil"/>
              <w:left w:val="nil"/>
              <w:bottom w:val="nil"/>
              <w:right w:val="nil"/>
            </w:tcBorders>
            <w:shd w:val="clear" w:color="auto" w:fill="auto"/>
            <w:noWrap/>
            <w:vAlign w:val="center"/>
            <w:hideMark/>
          </w:tcPr>
          <w:p w14:paraId="0F4398A6" w14:textId="77777777" w:rsidR="00134D11" w:rsidRPr="00B402B9" w:rsidRDefault="00134D11" w:rsidP="00B402B9">
            <w:pPr>
              <w:pStyle w:val="15TableBody"/>
            </w:pPr>
            <w:r w:rsidRPr="00B402B9">
              <w:t>3.9</w:t>
            </w:r>
          </w:p>
        </w:tc>
        <w:tc>
          <w:tcPr>
            <w:tcW w:w="990" w:type="dxa"/>
            <w:tcBorders>
              <w:top w:val="nil"/>
              <w:left w:val="nil"/>
              <w:bottom w:val="nil"/>
              <w:right w:val="nil"/>
            </w:tcBorders>
            <w:shd w:val="clear" w:color="auto" w:fill="auto"/>
            <w:noWrap/>
            <w:vAlign w:val="center"/>
            <w:hideMark/>
          </w:tcPr>
          <w:p w14:paraId="2F43BE85" w14:textId="77777777" w:rsidR="00134D11" w:rsidRPr="00B402B9" w:rsidRDefault="00134D11" w:rsidP="00B402B9">
            <w:pPr>
              <w:pStyle w:val="15TableBody"/>
            </w:pPr>
            <w:r w:rsidRPr="00B402B9">
              <w:t>Inf.</w:t>
            </w:r>
          </w:p>
        </w:tc>
        <w:tc>
          <w:tcPr>
            <w:tcW w:w="990" w:type="dxa"/>
            <w:tcBorders>
              <w:top w:val="nil"/>
              <w:left w:val="nil"/>
              <w:bottom w:val="nil"/>
              <w:right w:val="nil"/>
            </w:tcBorders>
            <w:shd w:val="clear" w:color="auto" w:fill="auto"/>
            <w:noWrap/>
            <w:vAlign w:val="center"/>
            <w:hideMark/>
          </w:tcPr>
          <w:p w14:paraId="54F0C038" w14:textId="77777777" w:rsidR="00134D11" w:rsidRPr="00B402B9" w:rsidRDefault="00134D11" w:rsidP="00B402B9">
            <w:pPr>
              <w:pStyle w:val="15TableBody"/>
            </w:pPr>
            <w:r w:rsidRPr="00B402B9">
              <w:t>0</w:t>
            </w:r>
          </w:p>
        </w:tc>
        <w:tc>
          <w:tcPr>
            <w:tcW w:w="900" w:type="dxa"/>
            <w:tcBorders>
              <w:top w:val="nil"/>
              <w:left w:val="nil"/>
              <w:bottom w:val="nil"/>
              <w:right w:val="nil"/>
            </w:tcBorders>
            <w:shd w:val="clear" w:color="auto" w:fill="auto"/>
            <w:noWrap/>
            <w:vAlign w:val="center"/>
            <w:hideMark/>
          </w:tcPr>
          <w:p w14:paraId="330AFE42" w14:textId="77777777" w:rsidR="00134D11" w:rsidRPr="00B402B9" w:rsidRDefault="00134D11" w:rsidP="00B402B9">
            <w:pPr>
              <w:pStyle w:val="15TableBody"/>
            </w:pPr>
            <w:r w:rsidRPr="00B402B9">
              <w:t>-6</w:t>
            </w:r>
          </w:p>
        </w:tc>
      </w:tr>
      <w:tr w:rsidR="00362204" w:rsidRPr="006218BE" w14:paraId="57D7352F" w14:textId="77777777" w:rsidTr="00362204">
        <w:trPr>
          <w:trHeight w:val="300"/>
          <w:jc w:val="center"/>
        </w:trPr>
        <w:tc>
          <w:tcPr>
            <w:tcW w:w="1509" w:type="dxa"/>
            <w:tcBorders>
              <w:top w:val="nil"/>
              <w:left w:val="nil"/>
              <w:bottom w:val="nil"/>
              <w:right w:val="nil"/>
            </w:tcBorders>
            <w:shd w:val="clear" w:color="auto" w:fill="auto"/>
            <w:vAlign w:val="center"/>
            <w:hideMark/>
          </w:tcPr>
          <w:p w14:paraId="05763CAC" w14:textId="77777777" w:rsidR="00134D11" w:rsidRPr="00B402B9" w:rsidRDefault="00134D11" w:rsidP="00B402B9">
            <w:pPr>
              <w:pStyle w:val="15TableBody"/>
              <w:rPr>
                <w:b/>
                <w:bCs/>
              </w:rPr>
            </w:pPr>
            <w:r w:rsidRPr="00B402B9">
              <w:rPr>
                <w:b/>
                <w:bCs/>
              </w:rPr>
              <w:t>SM3</w:t>
            </w:r>
          </w:p>
        </w:tc>
        <w:tc>
          <w:tcPr>
            <w:tcW w:w="921" w:type="dxa"/>
            <w:tcBorders>
              <w:top w:val="nil"/>
              <w:left w:val="nil"/>
              <w:bottom w:val="nil"/>
              <w:right w:val="nil"/>
            </w:tcBorders>
            <w:shd w:val="clear" w:color="auto" w:fill="auto"/>
            <w:noWrap/>
            <w:vAlign w:val="center"/>
            <w:hideMark/>
          </w:tcPr>
          <w:p w14:paraId="24023AB9"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04939371" w14:textId="77777777" w:rsidR="00134D11" w:rsidRPr="00B402B9" w:rsidRDefault="00134D11" w:rsidP="00B402B9">
            <w:pPr>
              <w:pStyle w:val="15TableBody"/>
            </w:pPr>
            <w:r w:rsidRPr="00B402B9">
              <w:t>440</w:t>
            </w:r>
          </w:p>
        </w:tc>
        <w:tc>
          <w:tcPr>
            <w:tcW w:w="990" w:type="dxa"/>
            <w:tcBorders>
              <w:top w:val="nil"/>
              <w:left w:val="nil"/>
              <w:bottom w:val="nil"/>
              <w:right w:val="nil"/>
            </w:tcBorders>
            <w:shd w:val="clear" w:color="auto" w:fill="auto"/>
            <w:noWrap/>
            <w:vAlign w:val="center"/>
            <w:hideMark/>
          </w:tcPr>
          <w:p w14:paraId="2C8C0D6D" w14:textId="77777777" w:rsidR="00134D11" w:rsidRPr="00B402B9" w:rsidRDefault="00134D11" w:rsidP="00B402B9">
            <w:pPr>
              <w:pStyle w:val="15TableBody"/>
            </w:pPr>
            <w:r w:rsidRPr="00B402B9">
              <w:t>-3</w:t>
            </w:r>
          </w:p>
        </w:tc>
        <w:tc>
          <w:tcPr>
            <w:tcW w:w="900" w:type="dxa"/>
            <w:tcBorders>
              <w:top w:val="nil"/>
              <w:left w:val="nil"/>
              <w:bottom w:val="nil"/>
              <w:right w:val="nil"/>
            </w:tcBorders>
            <w:shd w:val="clear" w:color="auto" w:fill="auto"/>
            <w:noWrap/>
            <w:vAlign w:val="center"/>
            <w:hideMark/>
          </w:tcPr>
          <w:p w14:paraId="13EBCAFE" w14:textId="77777777" w:rsidR="00134D11" w:rsidRPr="00B402B9" w:rsidRDefault="00134D11" w:rsidP="00B402B9">
            <w:pPr>
              <w:pStyle w:val="15TableBody"/>
            </w:pPr>
            <w:r w:rsidRPr="00B402B9">
              <w:t>0</w:t>
            </w:r>
          </w:p>
        </w:tc>
      </w:tr>
      <w:tr w:rsidR="00362204" w:rsidRPr="006218BE" w14:paraId="3940A804" w14:textId="77777777" w:rsidTr="00362204">
        <w:trPr>
          <w:trHeight w:val="300"/>
          <w:jc w:val="center"/>
        </w:trPr>
        <w:tc>
          <w:tcPr>
            <w:tcW w:w="1509" w:type="dxa"/>
            <w:tcBorders>
              <w:top w:val="nil"/>
              <w:left w:val="nil"/>
              <w:bottom w:val="nil"/>
              <w:right w:val="nil"/>
            </w:tcBorders>
            <w:shd w:val="clear" w:color="auto" w:fill="auto"/>
            <w:vAlign w:val="center"/>
            <w:hideMark/>
          </w:tcPr>
          <w:p w14:paraId="76202DC7" w14:textId="77777777" w:rsidR="00134D11" w:rsidRPr="00B402B9" w:rsidRDefault="00134D11" w:rsidP="00B402B9">
            <w:pPr>
              <w:pStyle w:val="15TableBody"/>
              <w:rPr>
                <w:b/>
                <w:bCs/>
              </w:rPr>
            </w:pPr>
            <w:r w:rsidRPr="00B402B9">
              <w:rPr>
                <w:b/>
                <w:bCs/>
              </w:rPr>
              <w:t>SM4</w:t>
            </w:r>
          </w:p>
        </w:tc>
        <w:tc>
          <w:tcPr>
            <w:tcW w:w="921" w:type="dxa"/>
            <w:tcBorders>
              <w:top w:val="nil"/>
              <w:left w:val="nil"/>
              <w:bottom w:val="nil"/>
              <w:right w:val="nil"/>
            </w:tcBorders>
            <w:shd w:val="clear" w:color="auto" w:fill="auto"/>
            <w:noWrap/>
            <w:vAlign w:val="center"/>
            <w:hideMark/>
          </w:tcPr>
          <w:p w14:paraId="4B89261A"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67878231" w14:textId="77777777" w:rsidR="00134D11" w:rsidRPr="00B402B9" w:rsidRDefault="00134D11" w:rsidP="00B402B9">
            <w:pPr>
              <w:pStyle w:val="15TableBody"/>
            </w:pPr>
            <w:r w:rsidRPr="00B402B9">
              <w:t>440</w:t>
            </w:r>
          </w:p>
        </w:tc>
        <w:tc>
          <w:tcPr>
            <w:tcW w:w="990" w:type="dxa"/>
            <w:tcBorders>
              <w:top w:val="nil"/>
              <w:left w:val="nil"/>
              <w:bottom w:val="nil"/>
              <w:right w:val="nil"/>
            </w:tcBorders>
            <w:shd w:val="clear" w:color="auto" w:fill="auto"/>
            <w:noWrap/>
            <w:vAlign w:val="center"/>
            <w:hideMark/>
          </w:tcPr>
          <w:p w14:paraId="549A8E55" w14:textId="77777777" w:rsidR="00134D11" w:rsidRPr="00B402B9" w:rsidRDefault="00134D11" w:rsidP="00B402B9">
            <w:pPr>
              <w:pStyle w:val="15TableBody"/>
            </w:pPr>
            <w:r w:rsidRPr="00B402B9">
              <w:t>0</w:t>
            </w:r>
          </w:p>
        </w:tc>
        <w:tc>
          <w:tcPr>
            <w:tcW w:w="900" w:type="dxa"/>
            <w:tcBorders>
              <w:top w:val="nil"/>
              <w:left w:val="nil"/>
              <w:bottom w:val="nil"/>
              <w:right w:val="nil"/>
            </w:tcBorders>
            <w:shd w:val="clear" w:color="auto" w:fill="auto"/>
            <w:noWrap/>
            <w:vAlign w:val="center"/>
            <w:hideMark/>
          </w:tcPr>
          <w:p w14:paraId="4853285F" w14:textId="77777777" w:rsidR="00134D11" w:rsidRPr="00B402B9" w:rsidRDefault="00134D11" w:rsidP="00B402B9">
            <w:pPr>
              <w:pStyle w:val="15TableBody"/>
            </w:pPr>
            <w:r w:rsidRPr="00B402B9">
              <w:t>-3</w:t>
            </w:r>
          </w:p>
        </w:tc>
      </w:tr>
      <w:tr w:rsidR="00362204" w:rsidRPr="006218BE" w14:paraId="0AA49004" w14:textId="77777777" w:rsidTr="00362204">
        <w:trPr>
          <w:trHeight w:val="300"/>
          <w:jc w:val="center"/>
        </w:trPr>
        <w:tc>
          <w:tcPr>
            <w:tcW w:w="1509" w:type="dxa"/>
            <w:tcBorders>
              <w:top w:val="nil"/>
              <w:left w:val="nil"/>
              <w:bottom w:val="nil"/>
              <w:right w:val="nil"/>
            </w:tcBorders>
            <w:shd w:val="clear" w:color="auto" w:fill="auto"/>
            <w:vAlign w:val="center"/>
            <w:hideMark/>
          </w:tcPr>
          <w:p w14:paraId="007A83B0" w14:textId="77777777" w:rsidR="00134D11" w:rsidRPr="00B402B9" w:rsidRDefault="00134D11" w:rsidP="00B402B9">
            <w:pPr>
              <w:pStyle w:val="15TableBody"/>
              <w:rPr>
                <w:b/>
                <w:bCs/>
              </w:rPr>
            </w:pPr>
            <w:r w:rsidRPr="00B402B9">
              <w:rPr>
                <w:b/>
                <w:bCs/>
              </w:rPr>
              <w:t>GM2*</w:t>
            </w:r>
          </w:p>
        </w:tc>
        <w:tc>
          <w:tcPr>
            <w:tcW w:w="921" w:type="dxa"/>
            <w:tcBorders>
              <w:top w:val="nil"/>
              <w:left w:val="nil"/>
              <w:bottom w:val="nil"/>
              <w:right w:val="nil"/>
            </w:tcBorders>
            <w:shd w:val="clear" w:color="auto" w:fill="auto"/>
            <w:noWrap/>
            <w:vAlign w:val="center"/>
            <w:hideMark/>
          </w:tcPr>
          <w:p w14:paraId="771AAF6E" w14:textId="77777777" w:rsidR="00134D11" w:rsidRPr="00B402B9" w:rsidRDefault="00134D11" w:rsidP="00B402B9">
            <w:pPr>
              <w:pStyle w:val="15TableBody"/>
            </w:pPr>
            <w:r w:rsidRPr="00B402B9">
              <w:t>3.9</w:t>
            </w:r>
          </w:p>
        </w:tc>
        <w:tc>
          <w:tcPr>
            <w:tcW w:w="990" w:type="dxa"/>
            <w:tcBorders>
              <w:top w:val="nil"/>
              <w:left w:val="nil"/>
              <w:bottom w:val="nil"/>
              <w:right w:val="nil"/>
            </w:tcBorders>
            <w:shd w:val="clear" w:color="auto" w:fill="auto"/>
            <w:noWrap/>
            <w:vAlign w:val="center"/>
            <w:hideMark/>
          </w:tcPr>
          <w:p w14:paraId="55C90D84" w14:textId="77777777" w:rsidR="00134D11" w:rsidRPr="00B402B9" w:rsidRDefault="00134D11" w:rsidP="00B402B9">
            <w:pPr>
              <w:pStyle w:val="15TableBody"/>
            </w:pPr>
            <w:r w:rsidRPr="00B402B9">
              <w:t>Inf.</w:t>
            </w:r>
          </w:p>
        </w:tc>
        <w:tc>
          <w:tcPr>
            <w:tcW w:w="990" w:type="dxa"/>
            <w:tcBorders>
              <w:top w:val="nil"/>
              <w:left w:val="nil"/>
              <w:bottom w:val="nil"/>
              <w:right w:val="nil"/>
            </w:tcBorders>
            <w:shd w:val="clear" w:color="auto" w:fill="auto"/>
            <w:noWrap/>
            <w:vAlign w:val="center"/>
            <w:hideMark/>
          </w:tcPr>
          <w:p w14:paraId="1D185E64" w14:textId="77777777" w:rsidR="00134D11" w:rsidRPr="00B402B9" w:rsidRDefault="00134D11" w:rsidP="00B402B9">
            <w:pPr>
              <w:pStyle w:val="15TableBody"/>
            </w:pPr>
            <w:r w:rsidRPr="00B402B9">
              <w:t>0</w:t>
            </w:r>
          </w:p>
        </w:tc>
        <w:tc>
          <w:tcPr>
            <w:tcW w:w="900" w:type="dxa"/>
            <w:tcBorders>
              <w:top w:val="nil"/>
              <w:left w:val="nil"/>
              <w:bottom w:val="nil"/>
              <w:right w:val="nil"/>
            </w:tcBorders>
            <w:shd w:val="clear" w:color="auto" w:fill="auto"/>
            <w:noWrap/>
            <w:vAlign w:val="center"/>
            <w:hideMark/>
          </w:tcPr>
          <w:p w14:paraId="4AE9E936" w14:textId="77777777" w:rsidR="00134D11" w:rsidRPr="00B402B9" w:rsidRDefault="00134D11" w:rsidP="00B402B9">
            <w:pPr>
              <w:pStyle w:val="15TableBody"/>
            </w:pPr>
            <w:r w:rsidRPr="00B402B9">
              <w:t>6</w:t>
            </w:r>
          </w:p>
        </w:tc>
      </w:tr>
      <w:tr w:rsidR="00362204" w:rsidRPr="006218BE" w14:paraId="7DF53C62" w14:textId="77777777" w:rsidTr="00362204">
        <w:trPr>
          <w:trHeight w:val="300"/>
          <w:jc w:val="center"/>
        </w:trPr>
        <w:tc>
          <w:tcPr>
            <w:tcW w:w="1509" w:type="dxa"/>
            <w:tcBorders>
              <w:top w:val="nil"/>
              <w:left w:val="nil"/>
              <w:bottom w:val="nil"/>
              <w:right w:val="nil"/>
            </w:tcBorders>
            <w:shd w:val="clear" w:color="auto" w:fill="auto"/>
            <w:vAlign w:val="center"/>
            <w:hideMark/>
          </w:tcPr>
          <w:p w14:paraId="6635A34C" w14:textId="77777777" w:rsidR="00134D11" w:rsidRPr="00B402B9" w:rsidRDefault="00134D11" w:rsidP="00B402B9">
            <w:pPr>
              <w:pStyle w:val="15TableBody"/>
              <w:rPr>
                <w:b/>
                <w:bCs/>
              </w:rPr>
            </w:pPr>
            <w:r w:rsidRPr="00B402B9">
              <w:rPr>
                <w:b/>
                <w:bCs/>
              </w:rPr>
              <w:t>SM5</w:t>
            </w:r>
          </w:p>
        </w:tc>
        <w:tc>
          <w:tcPr>
            <w:tcW w:w="921" w:type="dxa"/>
            <w:tcBorders>
              <w:top w:val="nil"/>
              <w:left w:val="nil"/>
              <w:bottom w:val="nil"/>
              <w:right w:val="nil"/>
            </w:tcBorders>
            <w:shd w:val="clear" w:color="auto" w:fill="auto"/>
            <w:noWrap/>
            <w:vAlign w:val="center"/>
            <w:hideMark/>
          </w:tcPr>
          <w:p w14:paraId="32C67D24"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03BBA274" w14:textId="77777777" w:rsidR="00134D11" w:rsidRPr="00B402B9" w:rsidRDefault="00134D11" w:rsidP="00B402B9">
            <w:pPr>
              <w:pStyle w:val="15TableBody"/>
            </w:pPr>
            <w:r w:rsidRPr="00B402B9">
              <w:t>440</w:t>
            </w:r>
          </w:p>
        </w:tc>
        <w:tc>
          <w:tcPr>
            <w:tcW w:w="990" w:type="dxa"/>
            <w:tcBorders>
              <w:top w:val="nil"/>
              <w:left w:val="nil"/>
              <w:bottom w:val="nil"/>
              <w:right w:val="nil"/>
            </w:tcBorders>
            <w:shd w:val="clear" w:color="auto" w:fill="auto"/>
            <w:noWrap/>
            <w:vAlign w:val="center"/>
            <w:hideMark/>
          </w:tcPr>
          <w:p w14:paraId="5053DD7C" w14:textId="77777777" w:rsidR="00134D11" w:rsidRPr="00B402B9" w:rsidRDefault="00134D11" w:rsidP="00B402B9">
            <w:pPr>
              <w:pStyle w:val="15TableBody"/>
            </w:pPr>
            <w:r w:rsidRPr="00B402B9">
              <w:t>2.65</w:t>
            </w:r>
          </w:p>
        </w:tc>
        <w:tc>
          <w:tcPr>
            <w:tcW w:w="900" w:type="dxa"/>
            <w:tcBorders>
              <w:top w:val="nil"/>
              <w:left w:val="nil"/>
              <w:bottom w:val="nil"/>
              <w:right w:val="nil"/>
            </w:tcBorders>
            <w:shd w:val="clear" w:color="auto" w:fill="auto"/>
            <w:noWrap/>
            <w:vAlign w:val="center"/>
            <w:hideMark/>
          </w:tcPr>
          <w:p w14:paraId="3C64B15E" w14:textId="77777777" w:rsidR="00134D11" w:rsidRPr="00B402B9" w:rsidRDefault="00134D11" w:rsidP="00B402B9">
            <w:pPr>
              <w:pStyle w:val="15TableBody"/>
            </w:pPr>
            <w:r w:rsidRPr="00B402B9">
              <w:t>0</w:t>
            </w:r>
          </w:p>
        </w:tc>
      </w:tr>
      <w:tr w:rsidR="00362204" w:rsidRPr="006218BE" w14:paraId="3A603A75" w14:textId="77777777" w:rsidTr="00362204">
        <w:trPr>
          <w:trHeight w:val="300"/>
          <w:jc w:val="center"/>
        </w:trPr>
        <w:tc>
          <w:tcPr>
            <w:tcW w:w="1509" w:type="dxa"/>
            <w:tcBorders>
              <w:top w:val="nil"/>
              <w:left w:val="nil"/>
              <w:bottom w:val="nil"/>
              <w:right w:val="nil"/>
            </w:tcBorders>
            <w:shd w:val="clear" w:color="auto" w:fill="auto"/>
            <w:vAlign w:val="center"/>
            <w:hideMark/>
          </w:tcPr>
          <w:p w14:paraId="441A889E" w14:textId="77777777" w:rsidR="00134D11" w:rsidRPr="00B402B9" w:rsidRDefault="00134D11" w:rsidP="00B402B9">
            <w:pPr>
              <w:pStyle w:val="15TableBody"/>
              <w:rPr>
                <w:b/>
                <w:bCs/>
              </w:rPr>
            </w:pPr>
            <w:r w:rsidRPr="00B402B9">
              <w:rPr>
                <w:b/>
                <w:bCs/>
              </w:rPr>
              <w:t>SM6</w:t>
            </w:r>
          </w:p>
        </w:tc>
        <w:tc>
          <w:tcPr>
            <w:tcW w:w="921" w:type="dxa"/>
            <w:tcBorders>
              <w:top w:val="nil"/>
              <w:left w:val="nil"/>
              <w:bottom w:val="nil"/>
              <w:right w:val="nil"/>
            </w:tcBorders>
            <w:shd w:val="clear" w:color="auto" w:fill="auto"/>
            <w:noWrap/>
            <w:vAlign w:val="center"/>
            <w:hideMark/>
          </w:tcPr>
          <w:p w14:paraId="48F7E98B"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69C752A9" w14:textId="77777777" w:rsidR="00134D11" w:rsidRPr="00B402B9" w:rsidRDefault="00134D11" w:rsidP="00B402B9">
            <w:pPr>
              <w:pStyle w:val="15TableBody"/>
            </w:pPr>
            <w:r w:rsidRPr="00B402B9">
              <w:t>1500</w:t>
            </w:r>
          </w:p>
        </w:tc>
        <w:tc>
          <w:tcPr>
            <w:tcW w:w="990" w:type="dxa"/>
            <w:tcBorders>
              <w:top w:val="nil"/>
              <w:left w:val="nil"/>
              <w:bottom w:val="nil"/>
              <w:right w:val="nil"/>
            </w:tcBorders>
            <w:shd w:val="clear" w:color="auto" w:fill="auto"/>
            <w:noWrap/>
            <w:vAlign w:val="center"/>
            <w:hideMark/>
          </w:tcPr>
          <w:p w14:paraId="1EBAFD15" w14:textId="77777777" w:rsidR="00134D11" w:rsidRPr="00B402B9" w:rsidRDefault="00134D11" w:rsidP="00B402B9">
            <w:pPr>
              <w:pStyle w:val="15TableBody"/>
            </w:pPr>
            <w:r w:rsidRPr="00B402B9">
              <w:t>0</w:t>
            </w:r>
          </w:p>
        </w:tc>
        <w:tc>
          <w:tcPr>
            <w:tcW w:w="900" w:type="dxa"/>
            <w:tcBorders>
              <w:top w:val="nil"/>
              <w:left w:val="nil"/>
              <w:bottom w:val="nil"/>
              <w:right w:val="nil"/>
            </w:tcBorders>
            <w:shd w:val="clear" w:color="auto" w:fill="auto"/>
            <w:noWrap/>
            <w:vAlign w:val="center"/>
            <w:hideMark/>
          </w:tcPr>
          <w:p w14:paraId="068BC063" w14:textId="77777777" w:rsidR="00134D11" w:rsidRPr="00B402B9" w:rsidRDefault="00134D11" w:rsidP="00B402B9">
            <w:pPr>
              <w:pStyle w:val="15TableBody"/>
            </w:pPr>
            <w:r w:rsidRPr="00B402B9">
              <w:t>-3</w:t>
            </w:r>
          </w:p>
        </w:tc>
      </w:tr>
      <w:tr w:rsidR="00362204" w:rsidRPr="006218BE" w14:paraId="2667C543" w14:textId="77777777" w:rsidTr="00362204">
        <w:trPr>
          <w:trHeight w:val="300"/>
          <w:jc w:val="center"/>
        </w:trPr>
        <w:tc>
          <w:tcPr>
            <w:tcW w:w="1509" w:type="dxa"/>
            <w:tcBorders>
              <w:top w:val="nil"/>
              <w:left w:val="nil"/>
              <w:bottom w:val="nil"/>
              <w:right w:val="nil"/>
            </w:tcBorders>
            <w:shd w:val="clear" w:color="auto" w:fill="auto"/>
            <w:vAlign w:val="center"/>
            <w:hideMark/>
          </w:tcPr>
          <w:p w14:paraId="18AF5F97" w14:textId="77777777" w:rsidR="00134D11" w:rsidRPr="00B402B9" w:rsidRDefault="00134D11" w:rsidP="00B402B9">
            <w:pPr>
              <w:pStyle w:val="15TableBody"/>
              <w:rPr>
                <w:b/>
                <w:bCs/>
              </w:rPr>
            </w:pPr>
            <w:r w:rsidRPr="00B402B9">
              <w:rPr>
                <w:b/>
                <w:bCs/>
              </w:rPr>
              <w:t>DM*</w:t>
            </w:r>
          </w:p>
        </w:tc>
        <w:tc>
          <w:tcPr>
            <w:tcW w:w="921" w:type="dxa"/>
            <w:tcBorders>
              <w:top w:val="nil"/>
              <w:left w:val="nil"/>
              <w:bottom w:val="nil"/>
              <w:right w:val="nil"/>
            </w:tcBorders>
            <w:shd w:val="clear" w:color="auto" w:fill="auto"/>
            <w:noWrap/>
            <w:vAlign w:val="center"/>
            <w:hideMark/>
          </w:tcPr>
          <w:p w14:paraId="1AF2E977" w14:textId="77777777" w:rsidR="00134D11" w:rsidRPr="00B402B9" w:rsidRDefault="00134D11" w:rsidP="00B402B9">
            <w:pPr>
              <w:pStyle w:val="15TableBody"/>
            </w:pPr>
            <w:r w:rsidRPr="00B402B9">
              <w:t>13.3</w:t>
            </w:r>
          </w:p>
        </w:tc>
        <w:tc>
          <w:tcPr>
            <w:tcW w:w="990" w:type="dxa"/>
            <w:tcBorders>
              <w:top w:val="nil"/>
              <w:left w:val="nil"/>
              <w:bottom w:val="nil"/>
              <w:right w:val="nil"/>
            </w:tcBorders>
            <w:shd w:val="clear" w:color="auto" w:fill="auto"/>
            <w:noWrap/>
            <w:vAlign w:val="center"/>
            <w:hideMark/>
          </w:tcPr>
          <w:p w14:paraId="73F34A40" w14:textId="77777777" w:rsidR="00134D11" w:rsidRPr="00B402B9" w:rsidRDefault="00134D11" w:rsidP="00B402B9">
            <w:pPr>
              <w:pStyle w:val="15TableBody"/>
            </w:pPr>
            <w:r w:rsidRPr="00B402B9">
              <w:t>Inf.</w:t>
            </w:r>
          </w:p>
        </w:tc>
        <w:tc>
          <w:tcPr>
            <w:tcW w:w="990" w:type="dxa"/>
            <w:tcBorders>
              <w:top w:val="nil"/>
              <w:left w:val="nil"/>
              <w:bottom w:val="nil"/>
              <w:right w:val="nil"/>
            </w:tcBorders>
            <w:shd w:val="clear" w:color="auto" w:fill="auto"/>
            <w:noWrap/>
            <w:vAlign w:val="center"/>
            <w:hideMark/>
          </w:tcPr>
          <w:p w14:paraId="57747927" w14:textId="77777777" w:rsidR="00134D11" w:rsidRPr="00B402B9" w:rsidRDefault="00134D11" w:rsidP="00B402B9">
            <w:pPr>
              <w:pStyle w:val="15TableBody"/>
            </w:pPr>
            <w:r w:rsidRPr="00B402B9">
              <w:t>3</w:t>
            </w:r>
          </w:p>
        </w:tc>
        <w:tc>
          <w:tcPr>
            <w:tcW w:w="900" w:type="dxa"/>
            <w:tcBorders>
              <w:top w:val="nil"/>
              <w:left w:val="nil"/>
              <w:bottom w:val="nil"/>
              <w:right w:val="nil"/>
            </w:tcBorders>
            <w:shd w:val="clear" w:color="auto" w:fill="auto"/>
            <w:noWrap/>
            <w:vAlign w:val="center"/>
            <w:hideMark/>
          </w:tcPr>
          <w:p w14:paraId="2A58A968" w14:textId="77777777" w:rsidR="00134D11" w:rsidRPr="00B402B9" w:rsidRDefault="00134D11" w:rsidP="00B402B9">
            <w:pPr>
              <w:pStyle w:val="15TableBody"/>
            </w:pPr>
            <w:r w:rsidRPr="00B402B9">
              <w:t>0</w:t>
            </w:r>
          </w:p>
        </w:tc>
      </w:tr>
      <w:tr w:rsidR="00362204" w:rsidRPr="006218BE" w14:paraId="63B51C1B" w14:textId="77777777" w:rsidTr="00362204">
        <w:trPr>
          <w:trHeight w:val="300"/>
          <w:jc w:val="center"/>
        </w:trPr>
        <w:tc>
          <w:tcPr>
            <w:tcW w:w="1509" w:type="dxa"/>
            <w:tcBorders>
              <w:top w:val="nil"/>
              <w:left w:val="nil"/>
              <w:bottom w:val="nil"/>
              <w:right w:val="nil"/>
            </w:tcBorders>
            <w:shd w:val="clear" w:color="auto" w:fill="auto"/>
            <w:vAlign w:val="center"/>
            <w:hideMark/>
          </w:tcPr>
          <w:p w14:paraId="760763F1" w14:textId="77777777" w:rsidR="00134D11" w:rsidRPr="00B402B9" w:rsidRDefault="00134D11" w:rsidP="00B402B9">
            <w:pPr>
              <w:pStyle w:val="15TableBody"/>
              <w:rPr>
                <w:b/>
                <w:bCs/>
              </w:rPr>
            </w:pPr>
            <w:r w:rsidRPr="00B402B9">
              <w:rPr>
                <w:b/>
                <w:bCs/>
              </w:rPr>
              <w:t>SM7</w:t>
            </w:r>
          </w:p>
        </w:tc>
        <w:tc>
          <w:tcPr>
            <w:tcW w:w="921" w:type="dxa"/>
            <w:tcBorders>
              <w:top w:val="nil"/>
              <w:left w:val="nil"/>
              <w:bottom w:val="nil"/>
              <w:right w:val="nil"/>
            </w:tcBorders>
            <w:shd w:val="clear" w:color="auto" w:fill="auto"/>
            <w:noWrap/>
            <w:vAlign w:val="center"/>
            <w:hideMark/>
          </w:tcPr>
          <w:p w14:paraId="14921521"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43416123" w14:textId="77777777" w:rsidR="00134D11" w:rsidRPr="00B402B9" w:rsidRDefault="00134D11" w:rsidP="00B402B9">
            <w:pPr>
              <w:pStyle w:val="15TableBody"/>
            </w:pPr>
            <w:r w:rsidRPr="00B402B9">
              <w:t>1500</w:t>
            </w:r>
          </w:p>
        </w:tc>
        <w:tc>
          <w:tcPr>
            <w:tcW w:w="990" w:type="dxa"/>
            <w:tcBorders>
              <w:top w:val="nil"/>
              <w:left w:val="nil"/>
              <w:bottom w:val="nil"/>
              <w:right w:val="nil"/>
            </w:tcBorders>
            <w:shd w:val="clear" w:color="auto" w:fill="auto"/>
            <w:noWrap/>
            <w:vAlign w:val="center"/>
            <w:hideMark/>
          </w:tcPr>
          <w:p w14:paraId="3E3866DD" w14:textId="77777777" w:rsidR="00134D11" w:rsidRPr="00B402B9" w:rsidRDefault="00134D11" w:rsidP="00B402B9">
            <w:pPr>
              <w:pStyle w:val="15TableBody"/>
            </w:pPr>
            <w:r w:rsidRPr="00B402B9">
              <w:t>-3</w:t>
            </w:r>
          </w:p>
        </w:tc>
        <w:tc>
          <w:tcPr>
            <w:tcW w:w="900" w:type="dxa"/>
            <w:tcBorders>
              <w:top w:val="nil"/>
              <w:left w:val="nil"/>
              <w:bottom w:val="nil"/>
              <w:right w:val="nil"/>
            </w:tcBorders>
            <w:shd w:val="clear" w:color="auto" w:fill="auto"/>
            <w:noWrap/>
            <w:vAlign w:val="center"/>
            <w:hideMark/>
          </w:tcPr>
          <w:p w14:paraId="14CEFC63" w14:textId="77777777" w:rsidR="00134D11" w:rsidRPr="00B402B9" w:rsidRDefault="00134D11" w:rsidP="00B402B9">
            <w:pPr>
              <w:pStyle w:val="15TableBody"/>
            </w:pPr>
            <w:r w:rsidRPr="00B402B9">
              <w:t>0</w:t>
            </w:r>
          </w:p>
        </w:tc>
      </w:tr>
      <w:tr w:rsidR="00362204" w:rsidRPr="006218BE" w14:paraId="03D9BE08" w14:textId="77777777" w:rsidTr="00362204">
        <w:trPr>
          <w:trHeight w:val="300"/>
          <w:jc w:val="center"/>
        </w:trPr>
        <w:tc>
          <w:tcPr>
            <w:tcW w:w="1509" w:type="dxa"/>
            <w:tcBorders>
              <w:top w:val="nil"/>
              <w:left w:val="nil"/>
              <w:bottom w:val="nil"/>
              <w:right w:val="nil"/>
            </w:tcBorders>
            <w:shd w:val="clear" w:color="auto" w:fill="auto"/>
            <w:vAlign w:val="center"/>
            <w:hideMark/>
          </w:tcPr>
          <w:p w14:paraId="36043637" w14:textId="77777777" w:rsidR="00134D11" w:rsidRPr="00B402B9" w:rsidRDefault="00134D11" w:rsidP="00B402B9">
            <w:pPr>
              <w:pStyle w:val="15TableBody"/>
              <w:rPr>
                <w:b/>
                <w:bCs/>
              </w:rPr>
            </w:pPr>
            <w:r w:rsidRPr="00B402B9">
              <w:rPr>
                <w:b/>
                <w:bCs/>
              </w:rPr>
              <w:t>SM8</w:t>
            </w:r>
          </w:p>
        </w:tc>
        <w:tc>
          <w:tcPr>
            <w:tcW w:w="921" w:type="dxa"/>
            <w:tcBorders>
              <w:top w:val="nil"/>
              <w:left w:val="nil"/>
              <w:bottom w:val="nil"/>
              <w:right w:val="nil"/>
            </w:tcBorders>
            <w:shd w:val="clear" w:color="auto" w:fill="auto"/>
            <w:noWrap/>
            <w:vAlign w:val="center"/>
            <w:hideMark/>
          </w:tcPr>
          <w:p w14:paraId="5AA09FDD" w14:textId="77777777" w:rsidR="00134D11" w:rsidRPr="00B402B9" w:rsidRDefault="00134D11" w:rsidP="00B402B9">
            <w:pPr>
              <w:pStyle w:val="15TableBody"/>
            </w:pPr>
          </w:p>
        </w:tc>
        <w:tc>
          <w:tcPr>
            <w:tcW w:w="990" w:type="dxa"/>
            <w:tcBorders>
              <w:top w:val="nil"/>
              <w:left w:val="nil"/>
              <w:bottom w:val="nil"/>
              <w:right w:val="nil"/>
            </w:tcBorders>
            <w:shd w:val="clear" w:color="auto" w:fill="auto"/>
            <w:noWrap/>
            <w:vAlign w:val="center"/>
            <w:hideMark/>
          </w:tcPr>
          <w:p w14:paraId="5F21D0DA" w14:textId="77777777" w:rsidR="00134D11" w:rsidRPr="00B402B9" w:rsidRDefault="00134D11" w:rsidP="00B402B9">
            <w:pPr>
              <w:pStyle w:val="15TableBody"/>
            </w:pPr>
            <w:r w:rsidRPr="00B402B9">
              <w:t>800</w:t>
            </w:r>
          </w:p>
        </w:tc>
        <w:tc>
          <w:tcPr>
            <w:tcW w:w="990" w:type="dxa"/>
            <w:tcBorders>
              <w:top w:val="nil"/>
              <w:left w:val="nil"/>
              <w:bottom w:val="nil"/>
              <w:right w:val="nil"/>
            </w:tcBorders>
            <w:shd w:val="clear" w:color="auto" w:fill="auto"/>
            <w:noWrap/>
            <w:vAlign w:val="center"/>
            <w:hideMark/>
          </w:tcPr>
          <w:p w14:paraId="2F5626CB" w14:textId="77777777" w:rsidR="00134D11" w:rsidRPr="00B402B9" w:rsidRDefault="00134D11" w:rsidP="00B402B9">
            <w:pPr>
              <w:pStyle w:val="15TableBody"/>
            </w:pPr>
            <w:r w:rsidRPr="00B402B9">
              <w:t>3</w:t>
            </w:r>
          </w:p>
        </w:tc>
        <w:tc>
          <w:tcPr>
            <w:tcW w:w="900" w:type="dxa"/>
            <w:tcBorders>
              <w:top w:val="nil"/>
              <w:left w:val="nil"/>
              <w:bottom w:val="nil"/>
              <w:right w:val="nil"/>
            </w:tcBorders>
            <w:shd w:val="clear" w:color="auto" w:fill="auto"/>
            <w:noWrap/>
            <w:vAlign w:val="center"/>
            <w:hideMark/>
          </w:tcPr>
          <w:p w14:paraId="171B0D4B" w14:textId="77777777" w:rsidR="00134D11" w:rsidRPr="00B402B9" w:rsidRDefault="00134D11" w:rsidP="00B402B9">
            <w:pPr>
              <w:pStyle w:val="15TableBody"/>
            </w:pPr>
            <w:r w:rsidRPr="00B402B9">
              <w:t>0</w:t>
            </w:r>
          </w:p>
        </w:tc>
      </w:tr>
      <w:tr w:rsidR="00362204" w:rsidRPr="006218BE" w14:paraId="4A0F6C2C" w14:textId="77777777" w:rsidTr="00362204">
        <w:trPr>
          <w:trHeight w:val="300"/>
          <w:jc w:val="center"/>
        </w:trPr>
        <w:tc>
          <w:tcPr>
            <w:tcW w:w="1509" w:type="dxa"/>
            <w:tcBorders>
              <w:top w:val="nil"/>
              <w:left w:val="nil"/>
              <w:bottom w:val="single" w:sz="4" w:space="0" w:color="auto"/>
              <w:right w:val="nil"/>
            </w:tcBorders>
            <w:shd w:val="clear" w:color="auto" w:fill="auto"/>
            <w:vAlign w:val="center"/>
          </w:tcPr>
          <w:p w14:paraId="535BECD5" w14:textId="77777777" w:rsidR="00134D11" w:rsidRPr="00B402B9" w:rsidRDefault="00134D11" w:rsidP="00B402B9">
            <w:pPr>
              <w:pStyle w:val="15TableBody"/>
              <w:rPr>
                <w:b/>
                <w:bCs/>
              </w:rPr>
            </w:pPr>
            <w:r w:rsidRPr="00B402B9">
              <w:rPr>
                <w:b/>
                <w:bCs/>
              </w:rPr>
              <w:t>Eye’s pupil*</w:t>
            </w:r>
          </w:p>
        </w:tc>
        <w:tc>
          <w:tcPr>
            <w:tcW w:w="921" w:type="dxa"/>
            <w:tcBorders>
              <w:top w:val="nil"/>
              <w:left w:val="nil"/>
              <w:bottom w:val="single" w:sz="4" w:space="0" w:color="auto"/>
              <w:right w:val="nil"/>
            </w:tcBorders>
            <w:shd w:val="clear" w:color="auto" w:fill="auto"/>
            <w:noWrap/>
            <w:vAlign w:val="center"/>
          </w:tcPr>
          <w:p w14:paraId="08997C80" w14:textId="77777777" w:rsidR="00134D11" w:rsidRPr="00B402B9" w:rsidRDefault="00134D11" w:rsidP="00B402B9">
            <w:pPr>
              <w:pStyle w:val="15TableBody"/>
            </w:pPr>
            <w:r w:rsidRPr="00B402B9">
              <w:t>7.1</w:t>
            </w:r>
          </w:p>
        </w:tc>
        <w:tc>
          <w:tcPr>
            <w:tcW w:w="990" w:type="dxa"/>
            <w:tcBorders>
              <w:top w:val="nil"/>
              <w:left w:val="nil"/>
              <w:bottom w:val="single" w:sz="4" w:space="0" w:color="auto"/>
              <w:right w:val="nil"/>
            </w:tcBorders>
            <w:shd w:val="clear" w:color="auto" w:fill="auto"/>
            <w:noWrap/>
            <w:vAlign w:val="center"/>
          </w:tcPr>
          <w:p w14:paraId="0349FB2B" w14:textId="77777777" w:rsidR="00134D11" w:rsidRPr="00B402B9" w:rsidRDefault="00134D11" w:rsidP="00B402B9">
            <w:pPr>
              <w:pStyle w:val="15TableBody"/>
            </w:pPr>
            <w:r w:rsidRPr="00B402B9">
              <w:t>Inf.</w:t>
            </w:r>
          </w:p>
        </w:tc>
        <w:tc>
          <w:tcPr>
            <w:tcW w:w="990" w:type="dxa"/>
            <w:tcBorders>
              <w:top w:val="nil"/>
              <w:left w:val="nil"/>
              <w:bottom w:val="single" w:sz="4" w:space="0" w:color="auto"/>
              <w:right w:val="nil"/>
            </w:tcBorders>
            <w:shd w:val="clear" w:color="auto" w:fill="auto"/>
            <w:noWrap/>
            <w:vAlign w:val="center"/>
          </w:tcPr>
          <w:p w14:paraId="48354ABB" w14:textId="77777777" w:rsidR="00134D11" w:rsidRPr="00B402B9" w:rsidRDefault="00134D11" w:rsidP="00B402B9">
            <w:pPr>
              <w:pStyle w:val="15TableBody"/>
            </w:pPr>
            <w:r w:rsidRPr="00B402B9">
              <w:t>0</w:t>
            </w:r>
          </w:p>
        </w:tc>
        <w:tc>
          <w:tcPr>
            <w:tcW w:w="900" w:type="dxa"/>
            <w:tcBorders>
              <w:top w:val="nil"/>
              <w:left w:val="nil"/>
              <w:bottom w:val="single" w:sz="4" w:space="0" w:color="auto"/>
              <w:right w:val="nil"/>
            </w:tcBorders>
            <w:shd w:val="clear" w:color="auto" w:fill="auto"/>
            <w:noWrap/>
            <w:vAlign w:val="center"/>
          </w:tcPr>
          <w:p w14:paraId="3F80C4EC" w14:textId="77777777" w:rsidR="00134D11" w:rsidRPr="00B402B9" w:rsidRDefault="00134D11" w:rsidP="00B402B9">
            <w:pPr>
              <w:pStyle w:val="15TableBody"/>
            </w:pPr>
            <w:r w:rsidRPr="00B402B9">
              <w:t>0</w:t>
            </w:r>
          </w:p>
        </w:tc>
      </w:tr>
    </w:tbl>
    <w:p w14:paraId="4CB5B70A" w14:textId="77777777" w:rsidR="00134D11" w:rsidRDefault="00134D11" w:rsidP="00362204">
      <w:pPr>
        <w:pStyle w:val="16TableFootnote"/>
        <w:jc w:val="center"/>
      </w:pPr>
      <w:r w:rsidRPr="006218BE">
        <w:t>*Optical component/system that are considered as ‘active’.</w:t>
      </w:r>
    </w:p>
    <w:p w14:paraId="723BD96A" w14:textId="77777777" w:rsidR="00134D11" w:rsidRPr="006218BE" w:rsidRDefault="00134D11" w:rsidP="00134D11">
      <w:pPr>
        <w:jc w:val="center"/>
        <w:rPr>
          <w:rFonts w:ascii="Arial" w:hAnsi="Arial" w:cs="Arial"/>
          <w:sz w:val="18"/>
          <w:szCs w:val="18"/>
        </w:rPr>
      </w:pPr>
    </w:p>
    <w:p w14:paraId="7D10AF17" w14:textId="77777777" w:rsidR="00134D11" w:rsidRDefault="00134D11" w:rsidP="000D7D73">
      <w:pPr>
        <w:pStyle w:val="11Figure"/>
        <w:rPr>
          <w:rFonts w:ascii="Arial" w:hAnsi="Arial" w:cs="Arial"/>
          <w:b/>
          <w:bCs/>
        </w:rPr>
      </w:pPr>
      <w:r>
        <w:rPr>
          <w:noProof/>
        </w:rPr>
        <w:lastRenderedPageBreak/>
        <w:drawing>
          <wp:inline distT="0" distB="0" distL="0" distR="0" wp14:anchorId="74BE976B" wp14:editId="4445CE47">
            <wp:extent cx="4800600" cy="3276820"/>
            <wp:effectExtent l="0" t="0" r="0" b="0"/>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00600" cy="3276820"/>
                    </a:xfrm>
                    <a:prstGeom prst="rect">
                      <a:avLst/>
                    </a:prstGeom>
                    <a:noFill/>
                    <a:ln>
                      <a:noFill/>
                    </a:ln>
                  </pic:spPr>
                </pic:pic>
              </a:graphicData>
            </a:graphic>
          </wp:inline>
        </w:drawing>
      </w:r>
    </w:p>
    <w:p w14:paraId="784C8851" w14:textId="564F283C" w:rsidR="00497360" w:rsidRDefault="00134D11" w:rsidP="006A4722">
      <w:pPr>
        <w:pStyle w:val="12FigureCaptionLong"/>
      </w:pPr>
      <w:r w:rsidRPr="00235A89">
        <w:rPr>
          <w:b/>
          <w:bCs/>
        </w:rPr>
        <w:t>Fig</w:t>
      </w:r>
      <w:r w:rsidR="009418C0">
        <w:rPr>
          <w:b/>
          <w:bCs/>
        </w:rPr>
        <w:t>.</w:t>
      </w:r>
      <w:r w:rsidRPr="00235A89">
        <w:rPr>
          <w:b/>
          <w:bCs/>
        </w:rPr>
        <w:t xml:space="preserve"> </w:t>
      </w:r>
      <w:r w:rsidR="009418C0">
        <w:rPr>
          <w:b/>
          <w:bCs/>
        </w:rPr>
        <w:t>S</w:t>
      </w:r>
      <w:r>
        <w:rPr>
          <w:b/>
          <w:bCs/>
        </w:rPr>
        <w:t>1</w:t>
      </w:r>
      <w:r w:rsidRPr="00235A89">
        <w:rPr>
          <w:b/>
          <w:bCs/>
        </w:rPr>
        <w:t>.</w:t>
      </w:r>
      <w:r w:rsidRPr="00235A89">
        <w:t xml:space="preserve"> Summary of </w:t>
      </w:r>
      <w:proofErr w:type="spellStart"/>
      <w:r w:rsidRPr="00235A89">
        <w:t>Zemax</w:t>
      </w:r>
      <w:proofErr w:type="spellEnd"/>
      <w:r w:rsidRPr="00235A89">
        <w:t xml:space="preserve"> simulation results: (a) spot diagrams, (b) footprint diagram at the eye’s pupil, and (c) polarization pupil map. (a) The spot diagrams were obtained at 9 locations with their respective coordinates of 1. (-1.4°, 1.4°), 2. (-1.4°, 0°), 3. (-1.4°, -1.4°), 4. (0°, 1.4°), 5. (-0°, 0°), 6. (-0°, -1.4°), 7. (1.4°, 1.4°), 8. (1.4°, 0), and 9. (1.4°, -1.4°), which covers the entire field of view. All the spots were ~2 times smaller than the Airy disk as denoted by black circles. (b) The corresponding footprints show the minimum beam wobbling at the eye’s pupil. (c) The polarization pupil map shows circularly polarized light patterns across the eye’s pupil with negligible polarization aberration. </w:t>
      </w:r>
    </w:p>
    <w:p w14:paraId="6CEFCE0C" w14:textId="6C4FCD42" w:rsidR="00134D11" w:rsidRDefault="00134D11" w:rsidP="000D7D73">
      <w:pPr>
        <w:pStyle w:val="10BodySubsequentParagraph"/>
      </w:pPr>
      <w:r>
        <w:t xml:space="preserve">After the construction, we measured (1) beam wobbling, (2) DM actuation required for the system aberration correction, and (3) the linear diattenuation in the AO sample arm. The wobbling was measured by scanning the beam over </w:t>
      </w:r>
      <w:r w:rsidRPr="0049438F">
        <w:t>2.</w:t>
      </w:r>
      <w:r>
        <w:t>5</w:t>
      </w:r>
      <w:r w:rsidRPr="0049438F">
        <w:t xml:space="preserve">° </w:t>
      </w:r>
      <w:r>
        <w:t xml:space="preserve">FOV and measuring the beam position via a no-lens camera. We found the maximum beam displacement of 0.1 mm, three times smaller than each </w:t>
      </w:r>
      <w:proofErr w:type="spellStart"/>
      <w:r>
        <w:t>lenslet</w:t>
      </w:r>
      <w:proofErr w:type="spellEnd"/>
      <w:r>
        <w:t xml:space="preserve"> size. Next, we measured the system aberration with a model eye consisting of highly scattering media (heavy white paper) and an achromatic lens with a focal length of 30 mm. The dominant aberration, including the lens aberration, was a 3</w:t>
      </w:r>
      <w:r w:rsidRPr="008D6E5C">
        <w:rPr>
          <w:vertAlign w:val="superscript"/>
        </w:rPr>
        <w:t>rd</w:t>
      </w:r>
      <w:r>
        <w:t>-order spherical aberration (c</w:t>
      </w:r>
      <w:r>
        <w:rPr>
          <w:vertAlign w:val="subscript"/>
        </w:rPr>
        <w:t>4</w:t>
      </w:r>
      <w:r>
        <w:rPr>
          <w:vertAlign w:val="superscript"/>
        </w:rPr>
        <w:t xml:space="preserve">0 </w:t>
      </w:r>
      <w:r>
        <w:t>=0.086 µm) followed by astigmatism (c</w:t>
      </w:r>
      <w:r w:rsidRPr="00BC73F8">
        <w:rPr>
          <w:vertAlign w:val="subscript"/>
        </w:rPr>
        <w:t>2</w:t>
      </w:r>
      <w:r w:rsidRPr="00BC73F8">
        <w:rPr>
          <w:vertAlign w:val="superscript"/>
        </w:rPr>
        <w:t>-2</w:t>
      </w:r>
      <w:r>
        <w:t xml:space="preserve"> = 0.064</w:t>
      </w:r>
      <w:r w:rsidRPr="008D1251">
        <w:t xml:space="preserve"> </w:t>
      </w:r>
      <w:r>
        <w:t>µm and c</w:t>
      </w:r>
      <w:r w:rsidRPr="00BC73F8">
        <w:rPr>
          <w:vertAlign w:val="subscript"/>
        </w:rPr>
        <w:t>2</w:t>
      </w:r>
      <w:r w:rsidRPr="00BC73F8">
        <w:rPr>
          <w:vertAlign w:val="superscript"/>
        </w:rPr>
        <w:t>2</w:t>
      </w:r>
      <w:r>
        <w:t xml:space="preserve"> = -0.060 µm), including the lens aberration, totaling an RMS wavefront error of 0.16 µm. However, the most severe aberration was from the DM itself; the RMS wavefront error jumped up to 18 times immediately after the DM was powered on and set to flat (zero voltages), which could be reduced by adjusting the sample position (defocus). Still, the RMS error was four times worse than without powering the DM. Nonetheless, such aberrations were corrected after closing the AO loop, which required only 7% DM stroke at maximum. In other words, the rest of the 93% DM stroke was available for ocular aberration correction. Finally, the linear diattenuation was estimated by measuring power throughput after placing and rotating an additional LP immediately after the collimator. The measured diattenuation, including the diattenuation of DIM1 (0.001), was 0.01, less than that of corneal diattenuation (0.03). The residual retardance remaining in the AO sample arm was canceled by correcting for the surface Jones matrix</w:t>
      </w:r>
      <w:r>
        <w:fldChar w:fldCharType="begin"/>
      </w:r>
      <w:r w:rsidR="00AF77D4">
        <w:instrText xml:space="preserve"> ADDIN ZOTERO_ITEM CSL_CITATION {"citationID":"qdPYp1Jk","properties":{"formattedCitation":"\\uc0\\u160{}[10]","plainCitation":" [10]","noteIndex":0},"citationItems":[{"id":13894,"uris":["http://zotero.org/users/700235/items/P7FG3EAR",["http://zotero.org/users/700235/items/P7FG3EAR"]],"itemData":{"id":13894,"type":"article-journal","abstract":"In previous publications we have reported on polarization-sensitive optical coherence tomography (PS-OCT) systems that measure and image retardation and axis orientation of birefringent samples with only a single input polarization state. This method requires that the sample is illuminated by circularly polarized light. In the case of retinal imaging, the retina is measured through the birefringent cornea, which causes a deviation of the sampling beam from the circular polarization state. To obtain undistorted birefringence patterns of the retina by PS-OCT, the corneal birefringence has to be compensated. We report on a software-based corneal birefringence compensation that uses the polarization state of the light backscattered at the retinal surface to measure the corneal birefringence. This information is used to numerically compensate the corneal birefringence. Contrary to hardware-based solutions, our method accounts for local variations of the corneal birefringence. We implemented the method in a state of the art spectral domain PS-OCT system and demonstrate it in a test sample and human retina in vivo.","container-title":"Journal of Biomedical Optics","DOI":"10.1117/1.2771560","ISSN":"1083-3668, 1560-2281","issue":"4","journalAbbreviation":"JBO","note":"publisher: International Society for Optics and Photonics\nPMID: 17867799","page":"041210","source":"www-spiedigitallibrary-org.proxyiub.uits.iu.edu","title":"Corneal birefringence compensation for polarization sensitive optical coherence tomography of the human retina","volume":"12","author":[{"family":"Pircher","given":"Michael"},{"family":"Götzinger","given":"Erich"},{"family":"Baumann","given":"Bernhard"},{"family":"Hitzenberger","given":"Christoph K."}],"issued":{"date-parts":[["2007",7]]}}}],"schema":"https://github.com/citation-style-language/schema/raw/master/csl-citation.json"} </w:instrText>
      </w:r>
      <w:r>
        <w:fldChar w:fldCharType="separate"/>
      </w:r>
      <w:r w:rsidRPr="00E02F61">
        <w:rPr>
          <w:szCs w:val="24"/>
        </w:rPr>
        <w:t> [10]</w:t>
      </w:r>
      <w:r>
        <w:fldChar w:fldCharType="end"/>
      </w:r>
      <w:r>
        <w:t>.</w:t>
      </w:r>
    </w:p>
    <w:p w14:paraId="1CC7CAED" w14:textId="5DD19D66" w:rsidR="000D7D73" w:rsidRDefault="00E029E7" w:rsidP="00E029E7">
      <w:pPr>
        <w:pStyle w:val="08SectionHeader2"/>
      </w:pPr>
      <w:r>
        <w:t xml:space="preserve">1.3 </w:t>
      </w:r>
      <w:r w:rsidR="00134D11" w:rsidRPr="007D4D29">
        <w:t>Fluorescence/stimulation channel</w:t>
      </w:r>
      <w:r w:rsidR="00134D11" w:rsidRPr="00C92BA2">
        <w:t>:</w:t>
      </w:r>
    </w:p>
    <w:p w14:paraId="46C09A05" w14:textId="1355B3A6" w:rsidR="00134D11" w:rsidRDefault="00134D11" w:rsidP="006A4722">
      <w:pPr>
        <w:pStyle w:val="09BodyFirstParagraph"/>
      </w:pPr>
      <w:r w:rsidRPr="0058295B">
        <w:lastRenderedPageBreak/>
        <w:t>The</w:t>
      </w:r>
      <w:r>
        <w:t xml:space="preserve"> visible wavelength range was saved for visual stimulation and fluorescence detection. </w:t>
      </w:r>
      <w:r>
        <w:rPr>
          <w:bCs/>
        </w:rPr>
        <w:t>W</w:t>
      </w:r>
      <w:r w:rsidRPr="0049438F">
        <w:rPr>
          <w:bCs/>
        </w:rPr>
        <w:t>e split the AO-OCT beam from the visible light using</w:t>
      </w:r>
      <w:r>
        <w:rPr>
          <w:bCs/>
        </w:rPr>
        <w:t xml:space="preserve"> </w:t>
      </w:r>
      <w:r>
        <w:t>DIM2 (</w:t>
      </w:r>
      <w:r w:rsidRPr="00753281">
        <w:t>FF662-FDi01</w:t>
      </w:r>
      <w:r>
        <w:t xml:space="preserve">; </w:t>
      </w:r>
      <w:proofErr w:type="spellStart"/>
      <w:r>
        <w:t>Semrock</w:t>
      </w:r>
      <w:proofErr w:type="spellEnd"/>
      <w:r>
        <w:t>), which reflects 95% of visible light for the fluorescence/stimulation channel.</w:t>
      </w:r>
    </w:p>
    <w:p w14:paraId="65E18ECD" w14:textId="77777777" w:rsidR="00134D11" w:rsidRPr="00B46942" w:rsidRDefault="00134D11" w:rsidP="006A4722">
      <w:pPr>
        <w:pStyle w:val="10BodySubsequentParagraph"/>
      </w:pPr>
      <w:r>
        <w:t>The visual stimulation channel was implemented</w:t>
      </w:r>
      <w:r w:rsidRPr="00FB6EB1">
        <w:t xml:space="preserve"> </w:t>
      </w:r>
      <w:r>
        <w:t>by installing</w:t>
      </w:r>
      <w:r w:rsidRPr="00FB6EB1">
        <w:t xml:space="preserve"> an LED-based DLP projector</w:t>
      </w:r>
      <w:r>
        <w:t xml:space="preserve"> (</w:t>
      </w:r>
      <w:r w:rsidRPr="00295A76">
        <w:t>DLP® E4500MKII</w:t>
      </w:r>
      <w:r>
        <w:t>, EKB Technology Ltd.)</w:t>
      </w:r>
      <w:r w:rsidRPr="00FB6EB1">
        <w:t>, generating bright and high contrast color images with a rapid on/off switching capability, which is ideal for making diverse spatial and temporal illumination patterns across wavelengths to stimulate different types of retinal cells and components.</w:t>
      </w:r>
    </w:p>
    <w:p w14:paraId="530A4705" w14:textId="1580549A" w:rsidR="006A4722" w:rsidRPr="00087805" w:rsidRDefault="00134D11" w:rsidP="00087805">
      <w:pPr>
        <w:pStyle w:val="10BodySubsequentParagraph"/>
      </w:pPr>
      <w:r w:rsidRPr="002E10C8">
        <w:t xml:space="preserve">An </w:t>
      </w:r>
      <w:r>
        <w:t xml:space="preserve">additional fluorescence channel was implemented but only for non-human primate (NHP) imaging, providing the detection of molecular contrast. </w:t>
      </w:r>
      <w:r>
        <w:rPr>
          <w:bCs/>
        </w:rPr>
        <w:t xml:space="preserve">The </w:t>
      </w:r>
      <w:r w:rsidRPr="0049438F">
        <w:rPr>
          <w:bCs/>
        </w:rPr>
        <w:t>fluorescence channel detect</w:t>
      </w:r>
      <w:r>
        <w:rPr>
          <w:bCs/>
        </w:rPr>
        <w:t>s</w:t>
      </w:r>
      <w:r w:rsidRPr="0049438F">
        <w:rPr>
          <w:bCs/>
        </w:rPr>
        <w:t xml:space="preserve"> autofluorescence and the most common experimental fluorophores, such as fluorescein isothiocyanate (FITC) and green fluorescent protein (GFP), by an off-the-shelf dichroic mirror</w:t>
      </w:r>
      <w:r>
        <w:rPr>
          <w:bCs/>
        </w:rPr>
        <w:t xml:space="preserve"> combined with notch filters </w:t>
      </w:r>
      <w:r w:rsidRPr="0049438F">
        <w:rPr>
          <w:bCs/>
        </w:rPr>
        <w:t xml:space="preserve">that reflect the excitation beam (488 nm wavelength light) and transmit the emission beam (&gt;500 nm wavelength light), but also </w:t>
      </w:r>
      <w:r>
        <w:rPr>
          <w:bCs/>
        </w:rPr>
        <w:t>leave</w:t>
      </w:r>
      <w:r w:rsidRPr="0049438F">
        <w:rPr>
          <w:bCs/>
        </w:rPr>
        <w:t xml:space="preserve"> flexibility for selecting the wavelengths in order to detect other families of fluorophore and/or to stimulate the retina using visible light for future studies</w:t>
      </w:r>
      <w:r>
        <w:rPr>
          <w:bCs/>
        </w:rPr>
        <w:t xml:space="preserve">. We used a photomultiplier tube (H7422P-40, Hamamatsu) to detect the weak photons back from the retina. The output signals were amplified (HCA-1M-1M, </w:t>
      </w:r>
      <w:proofErr w:type="spellStart"/>
      <w:r>
        <w:rPr>
          <w:bCs/>
        </w:rPr>
        <w:t>Femto</w:t>
      </w:r>
      <w:proofErr w:type="spellEnd"/>
      <w:r>
        <w:rPr>
          <w:bCs/>
        </w:rPr>
        <w:t xml:space="preserve">), low-pass-filtered (EF502, Thorlabs), and digitized (PCIE-1840, Advantech). </w:t>
      </w:r>
      <w:r w:rsidRPr="0049438F">
        <w:rPr>
          <w:bCs/>
        </w:rPr>
        <w:t xml:space="preserve">To overcome the sensitivity limitation often observed in detecting fluorescence signals, </w:t>
      </w:r>
      <w:r w:rsidRPr="0049438F">
        <w:t>we use</w:t>
      </w:r>
      <w:r>
        <w:t>d</w:t>
      </w:r>
      <w:r w:rsidRPr="0049438F">
        <w:t xml:space="preserve"> our image registration software</w:t>
      </w:r>
      <w:r w:rsidRPr="0049438F">
        <w:fldChar w:fldCharType="begin"/>
      </w:r>
      <w:r w:rsidR="00AF77D4">
        <w:instrText xml:space="preserve"> ADDIN ZOTERO_ITEM CSL_CITATION {"citationID":"0USe5oJM","properties":{"formattedCitation":"\\uc0\\u160{}[22]","plainCitation":" [22]","noteIndex":0},"citationItems":[{"id":13570,"uris":["http://zotero.org/users/700235/items/K83MSCLC",["http://zotero.org/users/700235/items/K83MSCLC"]],"itemData":{"id":13570,"type":"article-journal","abstract":"Significance: Adaptive optics optical coherence tomography (AO-OCT) technology enables non-invasive, high-resolution three-dimensional (3D) imaging of the retina and promises earlier detection of ocular disease. However, AO-OCT data are corrupted by eye-movement artifacts that must be removed in post-processing, a process rendered time-consuming by the immense quantity of data. Aim: To efficiently remove eye-movement artifacts at the level of individual A-lines, including those present in any individual reference volume. Approach: We developed a registration method that cascades (1) a 3D B-scan registration algorithm with (2) a global A-line registration algorithm for correcting torsional eye movements and image scaling and generating global motion-free coordinates. The first algorithm corrects 3D translational eye movements to a single reference volume, accelerated using parallel computing. The second algorithm combines outputs of multiple runs of the first algorithm using different reference volumes followed by an affine transformation, permitting registration of all images to a global coordinate system at the level of individual A-lines. Results: The 3D B-scan algorithm estimates and corrects 3D translational motions with high registration accuracy and robustness, even for volumes containing microsaccades. Averaging registered volumes improves our image quality metrics up to 22 dB. Implementation in CUDA™ on a graphics processing unit registers a 512 × 512 × 512 volume in only 10.6 s, 150 times faster than MATLAB™ on a central processing unit. The global A-line algorithm minimizes image distortion, improves regularity of the cone photoreceptor mosaic, and supports enhanced visualization of low-contrast retinal cellular features. Averaging registered volumes improves our image quality up to 9.4 dB. It also permits extending the imaging field of view (</w:instrText>
      </w:r>
      <w:r w:rsidR="00AF77D4">
        <w:rPr>
          <w:rFonts w:ascii="Cambria Math" w:hAnsi="Cambria Math" w:cs="Cambria Math"/>
        </w:rPr>
        <w:instrText>∼</w:instrText>
      </w:r>
      <w:r w:rsidR="00AF77D4">
        <w:instrText xml:space="preserve">2.1 </w:instrText>
      </w:r>
      <w:r w:rsidR="00AF77D4">
        <w:rPr>
          <w:rFonts w:cs="Times New Roman"/>
        </w:rPr>
        <w:instrText>×</w:instrText>
      </w:r>
      <w:r w:rsidR="00AF77D4">
        <w:instrText xml:space="preserve"> ) and depth of focus (</w:instrText>
      </w:r>
      <w:r w:rsidR="00AF77D4">
        <w:rPr>
          <w:rFonts w:ascii="Cambria Math" w:hAnsi="Cambria Math" w:cs="Cambria Math"/>
        </w:rPr>
        <w:instrText>∼</w:instrText>
      </w:r>
      <w:r w:rsidR="00AF77D4">
        <w:instrText xml:space="preserve">5.6 </w:instrText>
      </w:r>
      <w:r w:rsidR="00AF77D4">
        <w:rPr>
          <w:rFonts w:cs="Times New Roman"/>
        </w:rPr>
        <w:instrText>×</w:instrText>
      </w:r>
      <w:r w:rsidR="00AF77D4">
        <w:instrText xml:space="preserve"> ) beyond what is attainable with single-reference registration. Conclusions: We can efficiently correct eye motion in all 3D at the level of individual A-lines using a global coordinate system.","container-title":"Journal of Biomedical Optics","DOI":"10.1117/1.JBO.26.1.016001","ISSN":"1083-3668, 1560-2281","issue":"1","journalAbbreviation":"JBO","note":"publisher: International Society for Optics and Photonics\nPMID: 33410310","page":"016001","source":"www.spiedigitallibrary.org","title":"Multi-reference global registration of individual A-lines in adaptive optics optical coherence tomography retinal images","volume":"26","author":[{"family":"Kurokawa","given":"Kazuhiro"},{"family":"Crowell","given":"James A."},{"family":"Do","given":"Nhan"},{"family":"Lee","given":"John J."},{"family":"Miller","given":"Donald T."}],"issued":{"date-parts":[["2021",1]]}}}],"schema":"https://github.com/citation-style-language/schema/raw/master/csl-citation.json"} </w:instrText>
      </w:r>
      <w:r w:rsidRPr="0049438F">
        <w:fldChar w:fldCharType="separate"/>
      </w:r>
      <w:r w:rsidR="00AF77D4" w:rsidRPr="00AF77D4">
        <w:rPr>
          <w:rFonts w:cs="Times New Roman"/>
          <w:szCs w:val="24"/>
        </w:rPr>
        <w:t> [22]</w:t>
      </w:r>
      <w:r w:rsidRPr="0049438F">
        <w:fldChar w:fldCharType="end"/>
      </w:r>
      <w:r>
        <w:t xml:space="preserve">. </w:t>
      </w:r>
      <w:r w:rsidRPr="0049438F">
        <w:t>This approach uses the AO-OCT images to correct eye motion artifacts without requiring additional eye-tracking hardware, which enables tracking the subcellular features over time, regardless of the presence of fluorescence signals</w:t>
      </w:r>
      <w:r>
        <w:t>.</w:t>
      </w:r>
    </w:p>
    <w:p w14:paraId="2FB9F8D0" w14:textId="5FF4E488" w:rsidR="00E029E7" w:rsidRDefault="00701257" w:rsidP="00701257">
      <w:pPr>
        <w:pStyle w:val="08SectionHeader2"/>
      </w:pPr>
      <w:r>
        <w:t xml:space="preserve">1.4 </w:t>
      </w:r>
      <w:r w:rsidR="00134D11">
        <w:t xml:space="preserve">Subject interface: </w:t>
      </w:r>
    </w:p>
    <w:p w14:paraId="288DA722" w14:textId="2EE58F05" w:rsidR="00701257" w:rsidRPr="00701257" w:rsidRDefault="00134D11" w:rsidP="00087805">
      <w:pPr>
        <w:pStyle w:val="09BodyFirstParagraph"/>
      </w:pPr>
      <w:r>
        <w:t>We used a head and chin rest attached to a two-axis motorized stage (AU200-100X100-SC; OES Inc.) for the human interface. The stage, controlled by a joystick, enables a smooth translation of the head position parallel to the base floor with a sufficient travel distance to cover both eyes. In addition, the height was adjusted manually by a hand controller attached to the chin rest, like a standard clinical instrument. The subject sat and looked into a blue 2 mm diameter LED light displayed on</w:t>
      </w:r>
      <w:r w:rsidRPr="00F14241">
        <w:t xml:space="preserve"> </w:t>
      </w:r>
      <w:r>
        <w:t xml:space="preserve">the external fixation target (64x64 LED RGB Matrix Panel; Adafruit). To image the targeted location, we controlled the position of the LED light (extended over ~1.5° in the retina) via Raspberry PI. </w:t>
      </w:r>
    </w:p>
    <w:p w14:paraId="68E04401" w14:textId="26B6AEC4" w:rsidR="00C65889" w:rsidRDefault="00087805" w:rsidP="00087805">
      <w:pPr>
        <w:pStyle w:val="08SectionHeader2"/>
      </w:pPr>
      <w:r>
        <w:t>1.5</w:t>
      </w:r>
      <w:r w:rsidR="00134D11">
        <w:t xml:space="preserve">. Workstation: </w:t>
      </w:r>
    </w:p>
    <w:p w14:paraId="5C1BD8F5" w14:textId="014E2B8E" w:rsidR="00134D11" w:rsidRPr="000003A5" w:rsidRDefault="00134D11" w:rsidP="000003A5">
      <w:pPr>
        <w:pStyle w:val="09BodyFirstParagraph"/>
      </w:pPr>
      <w:r>
        <w:t>We used a</w:t>
      </w:r>
      <w:r w:rsidRPr="0091652A">
        <w:t xml:space="preserve"> </w:t>
      </w:r>
      <w:r>
        <w:t>research-grade workstation (</w:t>
      </w:r>
      <w:proofErr w:type="spellStart"/>
      <w:r>
        <w:t>SuperMicro</w:t>
      </w:r>
      <w:proofErr w:type="spellEnd"/>
      <w:r>
        <w:t xml:space="preserve"> </w:t>
      </w:r>
      <w:proofErr w:type="spellStart"/>
      <w:r>
        <w:t>SuperWorkstation</w:t>
      </w:r>
      <w:proofErr w:type="spellEnd"/>
      <w:r>
        <w:t xml:space="preserve"> 5049A-T) to handle multiple data acquisition boards, function generators, and a graphics card: (1) the spectrometers’ camera acquisition boards (</w:t>
      </w:r>
      <w:proofErr w:type="spellStart"/>
      <w:r>
        <w:t>Xtium</w:t>
      </w:r>
      <w:proofErr w:type="spellEnd"/>
      <w:r>
        <w:t>-CL MX4 with 80-bit mode Camera Link; Teledyne), (2) the SHWS’s camera acquisition board (Emergent Vision), (3) a multifunction I/O device (NI PCI-6363e; NI), the DM’s I/O interface (ALPAO), and (4) a GPU (NVIDIA Quadro RTX 4000). The operating system was Windows 10 Professional for Workstations (64-bit). To run several complicated tasks concurrently, we used a multi-core CPU (Intel Xeon Gold 6210U Processor 20-Core 2.5 GHz 27.5MB Cache; Intel) and a large enough memory (</w:t>
      </w:r>
      <w:r w:rsidRPr="00684164">
        <w:t>6 x 32GB PC4-23400 2933MHz DDR4 ECC RDIMM</w:t>
      </w:r>
      <w:r>
        <w:t xml:space="preserve">). </w:t>
      </w:r>
    </w:p>
    <w:p w14:paraId="6072DF89" w14:textId="7D39B670" w:rsidR="00134D11" w:rsidRPr="00A93B47" w:rsidRDefault="00116DF0" w:rsidP="00A93B47">
      <w:pPr>
        <w:pStyle w:val="08SectionHeader1"/>
      </w:pPr>
      <w:r>
        <w:t xml:space="preserve">AO-OCT </w:t>
      </w:r>
      <w:r w:rsidR="00125833">
        <w:t xml:space="preserve">control </w:t>
      </w:r>
      <w:r w:rsidR="00134D11" w:rsidRPr="00B00EBF">
        <w:t xml:space="preserve">software </w:t>
      </w:r>
    </w:p>
    <w:p w14:paraId="59DD16E1" w14:textId="439CD467" w:rsidR="00B00EBF" w:rsidRDefault="00134D11" w:rsidP="00B00EBF">
      <w:pPr>
        <w:pStyle w:val="08SectionHeader2"/>
        <w:numPr>
          <w:ilvl w:val="1"/>
          <w:numId w:val="5"/>
        </w:numPr>
      </w:pPr>
      <w:r>
        <w:t>System Control</w:t>
      </w:r>
      <w:r w:rsidRPr="00386A6E">
        <w:t xml:space="preserve"> </w:t>
      </w:r>
      <w:r>
        <w:t>S</w:t>
      </w:r>
      <w:r w:rsidRPr="00386A6E">
        <w:t>oftware</w:t>
      </w:r>
      <w:r>
        <w:t xml:space="preserve">: </w:t>
      </w:r>
    </w:p>
    <w:p w14:paraId="31F66D14" w14:textId="75690B22" w:rsidR="00134D11" w:rsidRPr="000D1495" w:rsidRDefault="00134D11" w:rsidP="00B00EBF">
      <w:pPr>
        <w:pStyle w:val="09BodyFirstParagraph"/>
      </w:pPr>
      <w:r>
        <w:t xml:space="preserve">The OCT control software continuously acquires spectral interferograms at a speed of 250 kHz while driving the scanning mirrors (GM1 and GM2) to scan the sample tissue. At startup, the user specifies the number of A-scans per B-scan and B-scans per volume. Advanced options allow the user to swap the fast and slow scan axes, change the horizontal and vertical axes scan peak in degrees, and specify a horizontal and vertical offset in degrees. To sync the acquisition </w:t>
      </w:r>
      <w:r>
        <w:lastRenderedPageBreak/>
        <w:t xml:space="preserve">and the scanner movements, we used a multifunction I/O device (NI PCI-6363e; NI) to generate frame/line trigger signals and scanning waveforms. We used a modified raster scan that drives both fast/slow scanners with the triangular waveform to eliminate flyback, which can improve the image registration process, laser safety, and AO stability. Data is acquired using a signal generation thread and a separate thread managing </w:t>
      </w:r>
      <w:r w:rsidRPr="007B64B8">
        <w:t>synchronization</w:t>
      </w:r>
      <w:r>
        <w:t xml:space="preserve">/and data acquisition. At the start of each volume pair, the sync/acquisition thread signals the generation thread to produce waveforms for one pair of volumes. The sync/acquisition thread then acquires one B-scan per B-scan period until each B-scan in the volume pair has been collected. This data is then processed with GPU/CPU in separate data processing threads and displayed to the user in the </w:t>
      </w:r>
      <w:proofErr w:type="spellStart"/>
      <w:r w:rsidRPr="0089776B">
        <w:rPr>
          <w:i/>
          <w:iCs/>
        </w:rPr>
        <w:t>en</w:t>
      </w:r>
      <w:proofErr w:type="spellEnd"/>
      <w:r w:rsidRPr="0089776B">
        <w:rPr>
          <w:i/>
          <w:iCs/>
        </w:rPr>
        <w:t xml:space="preserve"> face </w:t>
      </w:r>
      <w:r>
        <w:t xml:space="preserve">projection and cross-sectional views of the graphical user interface. Optionally, the user may choose to save a new video of data before its acquisition. In this case, the sync/acquisition thread proceeds as described but </w:t>
      </w:r>
      <w:r w:rsidRPr="002F4835">
        <w:t>additionally</w:t>
      </w:r>
      <w:r>
        <w:t xml:space="preserve"> sends a copy of the data to a separate saving thread, which writes the video data for each camera to binary files. The recorded data (raw spectra) were processed after each experiment (see Section 2.2.2). The control software was written in Visual Studio C++ using libraries such as CUDA, Qt5, Sapera SDK, and NI-DAQmx. </w:t>
      </w:r>
    </w:p>
    <w:p w14:paraId="55C357BB" w14:textId="77777777" w:rsidR="00134D11" w:rsidRDefault="00134D11" w:rsidP="00B00EBF">
      <w:pPr>
        <w:pStyle w:val="10BodySubsequentParagraph"/>
      </w:pPr>
      <w:r>
        <w:t xml:space="preserve">The AO control software continuously acquires the SHWS camera images, computes the wavefront map, and controls the DM actuation in a feedback loop. At system start, the user specifies an approximate pupil size for the subject and optimizes it if needed. A precorrection is applied via the DM to cancel the large refractive errors (sphere and cylinder). During the operation, an acquisition thread runs continuously, monitoring each SHWS spot, identifying its local center of gravity (COG), and computing its sub-pixel displacement from the reference coordinate. The SHWS spot displacements/slopes are converted and reported in wavefront map/Zernike coefficients/RMS wavefront error visualizations on the GUI. </w:t>
      </w:r>
      <w:r w:rsidRPr="00CD4FC0">
        <w:t>If the user</w:t>
      </w:r>
      <w:r>
        <w:t xml:space="preserve"> activates </w:t>
      </w:r>
      <w:r w:rsidRPr="00CD4FC0">
        <w:t>the ‘closed loop’ process, an additional thread automatically adjusts the DM actuator voltages to correct aberrations</w:t>
      </w:r>
      <w:r>
        <w:t xml:space="preserve"> using the formula </w:t>
      </w:r>
      <m:oMath>
        <m:r>
          <m:rPr>
            <m:nor/>
          </m:rPr>
          <w:rPr>
            <w:rFonts w:ascii="Cambria Math" w:hAnsi="Cambria Math"/>
            <w:b/>
            <w:bCs/>
          </w:rPr>
          <m:t>v</m:t>
        </m:r>
        <m:r>
          <w:rPr>
            <w:rFonts w:ascii="Cambria Math" w:hAnsi="Cambria Math"/>
          </w:rPr>
          <m:t>'=</m:t>
        </m:r>
        <m:r>
          <m:rPr>
            <m:nor/>
          </m:rPr>
          <w:rPr>
            <w:rFonts w:ascii="Cambria Math" w:hAnsi="Cambria Math"/>
            <w:b/>
            <w:bCs/>
          </w:rPr>
          <m:t>v</m:t>
        </m:r>
        <m:r>
          <w:rPr>
            <w:rFonts w:ascii="Cambria Math" w:hAnsi="Cambria Math"/>
          </w:rPr>
          <m:t>-g</m:t>
        </m:r>
        <m:r>
          <m:rPr>
            <m:nor/>
          </m:rPr>
          <w:rPr>
            <w:rFonts w:ascii="Cambria Math" w:hAnsi="Cambria Math"/>
            <w:b/>
            <w:bCs/>
          </w:rPr>
          <m:t>Cd</m:t>
        </m:r>
      </m:oMath>
      <w:r>
        <w:t xml:space="preserve">, where </w:t>
      </w:r>
      <m:oMath>
        <m:r>
          <m:rPr>
            <m:nor/>
          </m:rPr>
          <w:rPr>
            <w:rFonts w:ascii="Cambria Math" w:hAnsi="Cambria Math"/>
            <w:b/>
            <w:bCs/>
          </w:rPr>
          <m:t>v</m:t>
        </m:r>
      </m:oMath>
      <w:r>
        <w:t xml:space="preserve"> is a vector of current actuator voltages,</w:t>
      </w:r>
      <w:r w:rsidRPr="007B5951">
        <w:rPr>
          <w:i/>
          <w:iCs/>
        </w:rPr>
        <w:t xml:space="preserve"> </w:t>
      </w:r>
      <m:oMath>
        <m:r>
          <w:rPr>
            <w:rFonts w:ascii="Cambria Math" w:hAnsi="Cambria Math"/>
          </w:rPr>
          <m:t>g</m:t>
        </m:r>
      </m:oMath>
      <w:r>
        <w:t xml:space="preserve"> is a constant gain value, </w:t>
      </w:r>
      <m:oMath>
        <m:r>
          <m:rPr>
            <m:nor/>
          </m:rPr>
          <w:rPr>
            <w:rFonts w:ascii="Cambria Math" w:hAnsi="Cambria Math"/>
            <w:b/>
            <w:bCs/>
          </w:rPr>
          <m:t>C</m:t>
        </m:r>
      </m:oMath>
      <w:r>
        <w:t xml:space="preserve"> is a control matrix, and </w:t>
      </w:r>
      <m:oMath>
        <m:r>
          <m:rPr>
            <m:nor/>
          </m:rPr>
          <w:rPr>
            <w:rFonts w:ascii="Cambria Math" w:hAnsi="Cambria Math"/>
            <w:b/>
            <w:bCs/>
          </w:rPr>
          <m:t>d</m:t>
        </m:r>
      </m:oMath>
      <w:r>
        <w:t xml:space="preserve"> is a vector of the new SHWS spot displacements (minus a target defocus vector that controls the focus position). The control matrix, mapping the SHWS spot displacements to the DM voltages, was prebuilt from poke matrices that were measured prior by poking each actuator sequentially. We generated several control matrices for different pupil sizes and numbers of SVD modes, allowing the user to select the control matrix specific to each subject. At this point, the voltage solution is corrected using a plane fitter class (originally written in Python by Miller’s Lab at IUSO but rewritten in C++ by our team) to correct for tip and tilt in the DM. Typically, the SHWS was operated at 20 Hz with 49ms exposure during the operation. The computation time for the overall closed-loop operation was accelerated by multi-threaded computations for the COG measurements (3 </w:t>
      </w:r>
      <w:proofErr w:type="spellStart"/>
      <w:r>
        <w:t>lenslets</w:t>
      </w:r>
      <w:proofErr w:type="spellEnd"/>
      <w:r>
        <w:t xml:space="preserve"> at once; OpenMP). The software was primarily written in Visual Studio C++ using libraries including Qt5, ALPAO SDK, and Emergent Vision SDK. Freely available open-source software was also helpful in handling data operations, such as the Eigen and </w:t>
      </w:r>
      <w:r w:rsidRPr="00B00EBF">
        <w:t>Open MP</w:t>
      </w:r>
      <w:r>
        <w:t xml:space="preserve"> libraries for C++, in simplifying matrix calculations during closed-loop operations and the precorrection step.</w:t>
      </w:r>
    </w:p>
    <w:p w14:paraId="42097501" w14:textId="77777777" w:rsidR="00134D11" w:rsidRDefault="00134D11" w:rsidP="00134D11">
      <w:pPr>
        <w:spacing w:after="0"/>
        <w:jc w:val="both"/>
        <w:rPr>
          <w:rFonts w:ascii="Arial" w:hAnsi="Arial" w:cs="Arial"/>
        </w:rPr>
      </w:pPr>
    </w:p>
    <w:p w14:paraId="7FDA798E" w14:textId="77777777" w:rsidR="00134D11" w:rsidRDefault="00134D11" w:rsidP="00A93B47">
      <w:pPr>
        <w:pStyle w:val="11Figure"/>
        <w:rPr>
          <w:rFonts w:ascii="Arial" w:hAnsi="Arial" w:cs="Arial"/>
        </w:rPr>
      </w:pPr>
      <w:r>
        <w:rPr>
          <w:noProof/>
        </w:rPr>
        <w:lastRenderedPageBreak/>
        <w:drawing>
          <wp:inline distT="0" distB="0" distL="0" distR="0" wp14:anchorId="3A2FA6C6" wp14:editId="0DA92F75">
            <wp:extent cx="4800600" cy="2850195"/>
            <wp:effectExtent l="0" t="0" r="0" b="7620"/>
            <wp:docPr id="223821426" name="Picture 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21426" name="Picture 2" descr="Graphical user interface&#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00600" cy="2850195"/>
                    </a:xfrm>
                    <a:prstGeom prst="rect">
                      <a:avLst/>
                    </a:prstGeom>
                    <a:noFill/>
                    <a:ln>
                      <a:noFill/>
                    </a:ln>
                  </pic:spPr>
                </pic:pic>
              </a:graphicData>
            </a:graphic>
          </wp:inline>
        </w:drawing>
      </w:r>
    </w:p>
    <w:p w14:paraId="038531DC" w14:textId="0910C82A" w:rsidR="00134D11" w:rsidRPr="00225C31" w:rsidRDefault="00134D11" w:rsidP="00225C31">
      <w:pPr>
        <w:pStyle w:val="12FigureCaptionLong"/>
      </w:pPr>
      <w:r w:rsidRPr="00D06067">
        <w:rPr>
          <w:b/>
          <w:bCs/>
        </w:rPr>
        <w:t>Fig</w:t>
      </w:r>
      <w:r w:rsidR="00367090" w:rsidRPr="00D06067">
        <w:rPr>
          <w:b/>
          <w:bCs/>
        </w:rPr>
        <w:t>. S</w:t>
      </w:r>
      <w:r w:rsidRPr="00D06067">
        <w:rPr>
          <w:b/>
          <w:bCs/>
        </w:rPr>
        <w:t>2</w:t>
      </w:r>
      <w:r w:rsidR="009418C0">
        <w:rPr>
          <w:b/>
          <w:bCs/>
        </w:rPr>
        <w:t>.</w:t>
      </w:r>
      <w:r w:rsidRPr="00A01359">
        <w:t xml:space="preserve"> The graphical user interfaces (GUIs) for (</w:t>
      </w:r>
      <w:r>
        <w:t>left</w:t>
      </w:r>
      <w:r w:rsidRPr="00A01359">
        <w:t>) the AO subsystem</w:t>
      </w:r>
      <w:r>
        <w:t xml:space="preserve"> and</w:t>
      </w:r>
      <w:r w:rsidRPr="00A01359">
        <w:t xml:space="preserve"> (</w:t>
      </w:r>
      <w:r>
        <w:t>right</w:t>
      </w:r>
      <w:r w:rsidRPr="00A01359">
        <w:t>) the OCT subsystem. (</w:t>
      </w:r>
      <w:r>
        <w:t>left</w:t>
      </w:r>
      <w:r w:rsidRPr="00A01359">
        <w:t xml:space="preserve">) </w:t>
      </w:r>
      <w:r>
        <w:t>T</w:t>
      </w:r>
      <w:r w:rsidRPr="00A01359">
        <w:t>he top section display</w:t>
      </w:r>
      <w:r>
        <w:t>s</w:t>
      </w:r>
      <w:r w:rsidRPr="00A01359">
        <w:t xml:space="preserve"> information about the status and aberration </w:t>
      </w:r>
      <w:r>
        <w:t xml:space="preserve">measured by the SHWS for each </w:t>
      </w:r>
      <w:proofErr w:type="spellStart"/>
      <w:r>
        <w:t>lenslet</w:t>
      </w:r>
      <w:proofErr w:type="spellEnd"/>
      <w:r w:rsidRPr="00A01359">
        <w:t>, as well as the actuator</w:t>
      </w:r>
      <w:r>
        <w:t xml:space="preserve"> voltages applied to</w:t>
      </w:r>
      <w:r w:rsidRPr="00A01359">
        <w:t xml:space="preserve"> the DM. Below this, a window displays relevant statistics, and a panel holds operational controls. (</w:t>
      </w:r>
      <w:r>
        <w:t>right</w:t>
      </w:r>
      <w:r w:rsidRPr="00A01359">
        <w:t xml:space="preserve">) The interface displays a live </w:t>
      </w:r>
      <w:proofErr w:type="spellStart"/>
      <w:r w:rsidRPr="00896884">
        <w:rPr>
          <w:i/>
          <w:iCs/>
        </w:rPr>
        <w:t>en</w:t>
      </w:r>
      <w:proofErr w:type="spellEnd"/>
      <w:r>
        <w:rPr>
          <w:i/>
          <w:iCs/>
        </w:rPr>
        <w:t>-</w:t>
      </w:r>
      <w:r w:rsidRPr="00896884">
        <w:rPr>
          <w:i/>
          <w:iCs/>
        </w:rPr>
        <w:t>face</w:t>
      </w:r>
      <w:r w:rsidRPr="00A01359">
        <w:t xml:space="preserve"> projection, as well as a slow and fast </w:t>
      </w:r>
      <w:r>
        <w:t>B</w:t>
      </w:r>
      <w:r w:rsidRPr="00A01359">
        <w:t xml:space="preserve">-scan </w:t>
      </w:r>
      <w:r>
        <w:t xml:space="preserve">(cross-sectional) </w:t>
      </w:r>
      <w:r w:rsidRPr="00A01359">
        <w:t>view</w:t>
      </w:r>
      <w:r>
        <w:t>s</w:t>
      </w:r>
      <w:r w:rsidRPr="00A01359">
        <w:t>. In the upper right corner, controls for data acquisition are visible.</w:t>
      </w:r>
    </w:p>
    <w:p w14:paraId="23F18B6B" w14:textId="136471A7" w:rsidR="00DD6FB4" w:rsidRDefault="00570610" w:rsidP="00570610">
      <w:pPr>
        <w:pStyle w:val="08SectionHeader2"/>
      </w:pPr>
      <w:r>
        <w:t xml:space="preserve">2.2 </w:t>
      </w:r>
      <w:r w:rsidR="00134D11">
        <w:t>Graphical User Interface:</w:t>
      </w:r>
    </w:p>
    <w:p w14:paraId="27D66D03" w14:textId="46105A14" w:rsidR="00134D11" w:rsidRDefault="00134D11" w:rsidP="00081406">
      <w:pPr>
        <w:pStyle w:val="09BodyFirstParagraph"/>
      </w:pPr>
      <w:r>
        <w:rPr>
          <w:b/>
          <w:bCs/>
        </w:rPr>
        <w:t xml:space="preserve"> </w:t>
      </w:r>
      <w:r>
        <w:t xml:space="preserve">The AO system graphical user interface (GUI) in </w:t>
      </w:r>
      <w:r w:rsidR="000474C8" w:rsidRPr="000474C8">
        <w:rPr>
          <w:b/>
          <w:bCs/>
          <w:color w:val="4F81BD" w:themeColor="accent1"/>
        </w:rPr>
        <w:t>Fig. S</w:t>
      </w:r>
      <w:r w:rsidRPr="000474C8">
        <w:rPr>
          <w:b/>
          <w:bCs/>
          <w:color w:val="4F81BD" w:themeColor="accent1"/>
        </w:rPr>
        <w:t>2</w:t>
      </w:r>
      <w:r w:rsidRPr="000474C8">
        <w:rPr>
          <w:color w:val="4F81BD" w:themeColor="accent1"/>
        </w:rPr>
        <w:t xml:space="preserve"> </w:t>
      </w:r>
      <w:r w:rsidRPr="00951054">
        <w:rPr>
          <w:b/>
          <w:bCs/>
          <w:color w:val="4F81BD" w:themeColor="accent1"/>
        </w:rPr>
        <w:t>(left)</w:t>
      </w:r>
      <w:r w:rsidRPr="000474C8">
        <w:rPr>
          <w:color w:val="4F81BD" w:themeColor="accent1"/>
        </w:rPr>
        <w:t xml:space="preserve"> </w:t>
      </w:r>
      <w:r>
        <w:t>was designed to provide necessary information during data acquisition and allow for on-the-fly parameter tuning. The top section displays useful data visualizations, including a map of the measured wavefront, measured Zernike coefficients, an RMS wavefront error graph with a visual indicator for the value of diffraction-limited (0.056 µm), and a display of each DM actuator voltage. Displaying Zernike coefficients was helpful in determining a precorrection amount by which the 2</w:t>
      </w:r>
      <w:r w:rsidRPr="00B707A5">
        <w:rPr>
          <w:vertAlign w:val="superscript"/>
        </w:rPr>
        <w:t>nd</w:t>
      </w:r>
      <w:r>
        <w:t xml:space="preserve">-order Zernike coefficients (defocus and astigmatism) were minimized. The DM actuator map was helpful in determining divergence, with the closed loop stopping automatically if the standard deviation of all actuator voltages goes above a user-controlled threshold causing the voltages return to the values created by the initial precorrection. The visualizations section includes a flux map and a </w:t>
      </w:r>
      <w:proofErr w:type="spellStart"/>
      <w:r>
        <w:t>lenslet</w:t>
      </w:r>
      <w:proofErr w:type="spellEnd"/>
      <w:r>
        <w:t xml:space="preserve"> status map, which reports whether each individual </w:t>
      </w:r>
      <w:proofErr w:type="spellStart"/>
      <w:r>
        <w:t>lenslet</w:t>
      </w:r>
      <w:proofErr w:type="spellEnd"/>
      <w:r>
        <w:t xml:space="preserve"> is reflecting enough light (green for bright spots, red for dim spots) or at the pupil’s boundary (yellow)</w:t>
      </w:r>
      <w:r>
        <w:fldChar w:fldCharType="begin"/>
      </w:r>
      <w:r w:rsidR="00AF77D4">
        <w:instrText xml:space="preserve"> ADDIN ZOTERO_ITEM CSL_CITATION {"citationID":"voCSl2sm","properties":{"formattedCitation":"\\uc0\\u160{}[23]","plainCitation":" [23]","noteIndex":0},"citationItems":[{"id":9782,"uris":["http://zotero.org/users/700235/items/BDE346JE"],"itemData":{"id":9782,"type":"article-journal","abstract":"Retinal imaging with an adaptive optics (AO) system usually requires that the eye be centered and stable relative to the exit pupil of the system. Aberrations are then typically corrected inside a fixed circular pupil. This approach can be restrictive when imaging some subjects, since the pupil may not be round and maintaining a stable head position can be difficult. In this paper, we present an automatic algorithm that relaxes these constraints. An image quality metric is computed for each spot of the Shack&amp;#x2013;Hartmann image to detect the pupil and its boundary, and the control algorithm is applied only to regions within the subject&amp;#x2019;s pupil. Images on a model eye as well as for five subjects were obtained to show that a system exit pupil larger than the subject&amp;#x2019;s eye pupil could be used for AO retinal imaging without a reduction in image quality. This algorithm automates the task of selecting pupil size. It also may relax constraints on centering the subject&amp;#x2019;s pupil and on the shape of the pupil.","container-title":"Applied Optics","DOI":"10.1364/AO.56.006748","ISSN":"2155-3165","issue":"24","journalAbbreviation":"Appl. Opt., AO","language":"EN","license":"&amp;#169; 2017 Optical Society of America","page":"6748-6754","source":"www.osapublishing.org","title":"Adaptive optics retinal imaging with automatic detection of the pupil and its boundary in real time using Shack&amp;#x2013;Hartmann images","volume":"56","author":[{"family":"Castro","given":"Alberto","dropping-particle":"de"},{"family":"Sawides","given":"Lucie"},{"family":"Qi","given":"Xiaofeng"},{"family":"Burns","given":"Stephen A."}],"issued":{"date-parts":[["2017",8,20]]}}}],"schema":"https://github.com/citation-style-language/schema/raw/master/csl-citation.json"} </w:instrText>
      </w:r>
      <w:r>
        <w:fldChar w:fldCharType="separate"/>
      </w:r>
      <w:r w:rsidR="00AF77D4" w:rsidRPr="00AF77D4">
        <w:rPr>
          <w:rFonts w:cs="Times New Roman"/>
          <w:szCs w:val="24"/>
        </w:rPr>
        <w:t> [23]</w:t>
      </w:r>
      <w:r>
        <w:fldChar w:fldCharType="end"/>
      </w:r>
      <w:r>
        <w:t>. I</w:t>
      </w:r>
      <w:r w:rsidRPr="009477DF">
        <w:t xml:space="preserve">f a sufficient percentage of </w:t>
      </w:r>
      <w:proofErr w:type="spellStart"/>
      <w:r w:rsidRPr="009477DF">
        <w:t>lenslets</w:t>
      </w:r>
      <w:proofErr w:type="spellEnd"/>
      <w:r w:rsidRPr="009477DF">
        <w:t xml:space="preserve"> </w:t>
      </w:r>
      <w:r>
        <w:t>are</w:t>
      </w:r>
      <w:r w:rsidRPr="009477DF">
        <w:t xml:space="preserve"> in a </w:t>
      </w:r>
      <w:r>
        <w:t xml:space="preserve">dim </w:t>
      </w:r>
      <w:r w:rsidRPr="009477DF">
        <w:t xml:space="preserve">state, </w:t>
      </w:r>
      <w:r>
        <w:t xml:space="preserve">the algorithm continues to store measurements from bright </w:t>
      </w:r>
      <w:proofErr w:type="spellStart"/>
      <w:r>
        <w:t>lenslets</w:t>
      </w:r>
      <w:proofErr w:type="spellEnd"/>
      <w:r>
        <w:t xml:space="preserve"> but does not update data visualizations until more </w:t>
      </w:r>
      <w:proofErr w:type="spellStart"/>
      <w:r>
        <w:t>lenslets</w:t>
      </w:r>
      <w:proofErr w:type="spellEnd"/>
      <w:r>
        <w:t xml:space="preserve"> are bright - preventing sudden changes when a subject blinks or moves out. Both the flux and </w:t>
      </w:r>
      <w:proofErr w:type="spellStart"/>
      <w:r>
        <w:t>lenslet</w:t>
      </w:r>
      <w:proofErr w:type="spellEnd"/>
      <w:r>
        <w:t xml:space="preserve"> status arrays are helpful in aligning the subject’s eye with the scanning beam and determining blinking. Another tab allows the user to see the SHWS raw image in real time, with both reference and observed coordinates for each </w:t>
      </w:r>
      <w:proofErr w:type="spellStart"/>
      <w:r>
        <w:t>lenslet</w:t>
      </w:r>
      <w:proofErr w:type="spellEnd"/>
      <w:r>
        <w:t xml:space="preserve">. This display is primarily used in calibrating the system before imaging subjects. Below, a statistics text window reports specific values including measured RMS error, acquisition frames per second, mean slope in milliradians, and mean light intensities. Next to this window is the control panel, which allows for beginning the closed loop, setting precorrection, and modifying values of gain, number of SVD modes, and target defocus, all changeable during the operation. </w:t>
      </w:r>
    </w:p>
    <w:p w14:paraId="307E28F0" w14:textId="5BFFDC05" w:rsidR="00C87362" w:rsidRPr="004C5E74" w:rsidRDefault="00134D11" w:rsidP="004C5E74">
      <w:pPr>
        <w:pStyle w:val="10BodySubsequentParagraph"/>
      </w:pPr>
      <w:r>
        <w:tab/>
        <w:t xml:space="preserve">The main purpose of the OCT GUI in </w:t>
      </w:r>
      <w:r w:rsidR="000474C8" w:rsidRPr="000474C8">
        <w:rPr>
          <w:b/>
          <w:bCs/>
          <w:color w:val="4F81BD" w:themeColor="accent1"/>
        </w:rPr>
        <w:t>Fig. S</w:t>
      </w:r>
      <w:r w:rsidRPr="000474C8">
        <w:rPr>
          <w:b/>
          <w:bCs/>
          <w:color w:val="4F81BD" w:themeColor="accent1"/>
        </w:rPr>
        <w:t>2 (right)</w:t>
      </w:r>
      <w:r>
        <w:t xml:space="preserve"> is to display to the user an </w:t>
      </w:r>
      <w:proofErr w:type="spellStart"/>
      <w:r w:rsidRPr="00486B6B">
        <w:rPr>
          <w:i/>
          <w:iCs/>
        </w:rPr>
        <w:t>en</w:t>
      </w:r>
      <w:proofErr w:type="spellEnd"/>
      <w:r>
        <w:rPr>
          <w:i/>
          <w:iCs/>
        </w:rPr>
        <w:t>-</w:t>
      </w:r>
      <w:r w:rsidRPr="00486B6B">
        <w:rPr>
          <w:i/>
          <w:iCs/>
        </w:rPr>
        <w:t>face</w:t>
      </w:r>
      <w:r>
        <w:t xml:space="preserve"> projection and real-time B-scan view. During acquisition, the top left corner holds a display </w:t>
      </w:r>
      <w:r>
        <w:lastRenderedPageBreak/>
        <w:t xml:space="preserve">for the </w:t>
      </w:r>
      <w:proofErr w:type="spellStart"/>
      <w:r w:rsidRPr="001C161F">
        <w:rPr>
          <w:i/>
          <w:iCs/>
        </w:rPr>
        <w:t>en</w:t>
      </w:r>
      <w:proofErr w:type="spellEnd"/>
      <w:r>
        <w:rPr>
          <w:i/>
          <w:iCs/>
        </w:rPr>
        <w:t>-</w:t>
      </w:r>
      <w:r w:rsidRPr="001C161F">
        <w:rPr>
          <w:i/>
          <w:iCs/>
        </w:rPr>
        <w:t>face</w:t>
      </w:r>
      <w:r>
        <w:t xml:space="preserve"> projection with display contrast sliders on the right side. These contrast sliders also adjust the display for the slow B-scan projection, which is located at the bottom of the screen and shows a B-scan averaged along the fast scan axis of the projection. Directly above the slow B-scan is the fast B-scan display, which shows the most recently acquired B-scan image. Used together, the two displays are useful for centering and correctly aligning layers of interest in a subject’s eye. In the top right corner, a statistics window displays exact values for the measured intensities of both cameras. A panel also contains controls to switch all displays to show data from the bottom camera, top camera, or sum of both cameras. In another tab, a button allows for the user to start saving a video with a visual indicator to show the progress of the acquisition. An audio cue is played at the beginning and end of data collection, which is helpful for informing the subject when they may close or blink their eye. </w:t>
      </w:r>
    </w:p>
    <w:p w14:paraId="497AD716" w14:textId="77777777" w:rsidR="00B7686D" w:rsidRPr="00C44B69" w:rsidRDefault="00B7686D" w:rsidP="00A94BE2">
      <w:pPr>
        <w:pStyle w:val="11Figure"/>
      </w:pPr>
      <w:r w:rsidRPr="00C44B69">
        <w:rPr>
          <w:noProof/>
        </w:rPr>
        <w:drawing>
          <wp:inline distT="0" distB="0" distL="0" distR="0" wp14:anchorId="2819C691" wp14:editId="6981288A">
            <wp:extent cx="4800600" cy="3600963"/>
            <wp:effectExtent l="0" t="0" r="0" b="0"/>
            <wp:docPr id="1500558592" name="Picture 1500558592" descr="A group of graphs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558592" name="Picture 1" descr="A group of graphs with different colored lines&#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00600" cy="3600963"/>
                    </a:xfrm>
                    <a:prstGeom prst="rect">
                      <a:avLst/>
                    </a:prstGeom>
                    <a:noFill/>
                    <a:ln>
                      <a:noFill/>
                    </a:ln>
                  </pic:spPr>
                </pic:pic>
              </a:graphicData>
            </a:graphic>
          </wp:inline>
        </w:drawing>
      </w:r>
    </w:p>
    <w:p w14:paraId="20C45C68" w14:textId="5FBCFD6C" w:rsidR="00B7686D" w:rsidRPr="00A362E7" w:rsidRDefault="00B7686D" w:rsidP="00A362E7">
      <w:pPr>
        <w:pStyle w:val="12FigureCaptionLong"/>
      </w:pPr>
      <w:r w:rsidRPr="00623D88">
        <w:rPr>
          <w:b/>
          <w:bCs/>
        </w:rPr>
        <w:t>Fi</w:t>
      </w:r>
      <w:r w:rsidR="00710C42" w:rsidRPr="00623D88">
        <w:rPr>
          <w:b/>
          <w:bCs/>
        </w:rPr>
        <w:t>g.</w:t>
      </w:r>
      <w:r w:rsidRPr="00623D88">
        <w:rPr>
          <w:b/>
          <w:bCs/>
        </w:rPr>
        <w:t xml:space="preserve"> </w:t>
      </w:r>
      <w:r w:rsidR="00710C42">
        <w:rPr>
          <w:b/>
          <w:bCs/>
        </w:rPr>
        <w:t>S3</w:t>
      </w:r>
      <w:r w:rsidRPr="009418C0">
        <w:rPr>
          <w:b/>
          <w:bCs/>
        </w:rPr>
        <w:t>.</w:t>
      </w:r>
      <w:r w:rsidRPr="00C44B69">
        <w:t xml:space="preserve"> Repeatability test results of peripapillary RNFL reflectance, retardance, and optic axis measurements at locations (2-5) in the right eye of 37 y/o male with high myopia (</w:t>
      </w:r>
      <w:proofErr w:type="spellStart"/>
      <w:r w:rsidRPr="00C44B69">
        <w:t>Sph</w:t>
      </w:r>
      <w:proofErr w:type="spellEnd"/>
      <w:r w:rsidRPr="00C44B69">
        <w:t xml:space="preserve">: -7D). The first row is the spatial distribution of the eye positions tracked by our software at each location. The color-coded stars denote the mean positions of the eye motion trace. The color-coded isoline contours encompass 3SDs of the eye motion trace. The second row is the means and SDs of reflectance, retardance, and optic axis measured on the anterior surface of the RNFL within the overlap area. The third row is their volume correlation coefficients. </w:t>
      </w:r>
    </w:p>
    <w:p w14:paraId="75F9EB7B" w14:textId="2854A779" w:rsidR="004A7F7F" w:rsidRPr="004A7F7F" w:rsidRDefault="004A7F7F" w:rsidP="00EE4DCA">
      <w:pPr>
        <w:pStyle w:val="08SectionHeader1"/>
      </w:pPr>
      <w:r>
        <w:t>Myopia</w:t>
      </w:r>
      <w:r w:rsidR="0060779F">
        <w:t>-related</w:t>
      </w:r>
      <w:r>
        <w:t xml:space="preserve"> </w:t>
      </w:r>
      <w:r w:rsidR="009F6FAA">
        <w:t>deformation</w:t>
      </w:r>
      <w:r>
        <w:t xml:space="preserve"> within the temporal ONH</w:t>
      </w:r>
    </w:p>
    <w:p w14:paraId="04B00ACD" w14:textId="77777777" w:rsidR="00D611EA" w:rsidRPr="00C44B69" w:rsidRDefault="00D611EA" w:rsidP="00EE4DCA">
      <w:pPr>
        <w:pStyle w:val="09BodyFirstParagraph"/>
      </w:pPr>
      <w:r w:rsidRPr="00C44B69">
        <w:t xml:space="preserve">In the temporal ONH of H001, the reconstructed volumes show an extremely complicated view, convoluted with high myopia-related deformation (see </w:t>
      </w:r>
      <w:r w:rsidRPr="00855F34">
        <w:rPr>
          <w:b/>
          <w:bCs/>
          <w:color w:val="4F81BD" w:themeColor="accent1"/>
        </w:rPr>
        <w:t>Fig</w:t>
      </w:r>
      <w:r>
        <w:rPr>
          <w:b/>
          <w:bCs/>
          <w:color w:val="4F81BD" w:themeColor="accent1"/>
        </w:rPr>
        <w:t>.</w:t>
      </w:r>
      <w:r w:rsidRPr="00855F34">
        <w:rPr>
          <w:b/>
          <w:bCs/>
          <w:color w:val="4F81BD" w:themeColor="accent1"/>
        </w:rPr>
        <w:t xml:space="preserve"> 9</w:t>
      </w:r>
      <w:r w:rsidRPr="00C44B69">
        <w:t xml:space="preserve">). The laminar beams appeared narrowed and stretched near the transition zone from the prelaminar to the laminar regions (at Z0, Z1, and Z2), as indicated by the yellow arrowheads, compared to those in the posterior laminar region (at Z4) and central ONH (see </w:t>
      </w:r>
      <w:r w:rsidRPr="00855F34">
        <w:rPr>
          <w:b/>
          <w:bCs/>
          <w:color w:val="4F81BD" w:themeColor="accent1"/>
        </w:rPr>
        <w:t>Fig. 7</w:t>
      </w:r>
      <w:r w:rsidRPr="00C44B69">
        <w:t xml:space="preserve">). The laminar insertion, where the anterior laminar beams directly connected to the scleral tissue, was found just below the Brunch’s membrane opening as indicated by the red arrowhead. No apparent border tissue nor choroid was visible. The axon bundle (or dark trunk-like structure) passed through the LC via a </w:t>
      </w:r>
      <w:r w:rsidRPr="00C44B69">
        <w:lastRenderedPageBreak/>
        <w:t xml:space="preserve">deformed path as indicated by the green arrows. The retardance image shows its moderate increase in the laminar region and its significantly greater increase in the scleral regions, </w:t>
      </w:r>
      <w:r>
        <w:t>which</w:t>
      </w:r>
      <w:r w:rsidRPr="00C44B69">
        <w:t xml:space="preserve"> could indicate the change in the collagenous fiber density and distribution. Unlike central ONH, the retardance elevated in the nerve fiber region toward the disc margin as a consequence of the axon bundles bending away from the imaging beam axis. Therefore, the moderate color difference in the optic axis image at Z0 represents the nerve fiber orientation, whereas the dramatic alteration of the optic axis in the laminar and scleral regions (Z3 and Z4) indicates the change in their collagenous fiber orientation. </w:t>
      </w:r>
    </w:p>
    <w:p w14:paraId="709B10F1" w14:textId="26647079" w:rsidR="00D611EA" w:rsidRPr="00C44B69" w:rsidRDefault="000279CD" w:rsidP="00D611EA">
      <w:pPr>
        <w:pStyle w:val="11Figure"/>
      </w:pPr>
      <w:r>
        <w:rPr>
          <w:noProof/>
        </w:rPr>
        <w:drawing>
          <wp:inline distT="0" distB="0" distL="0" distR="0" wp14:anchorId="5FFC9835" wp14:editId="19FB1AAE">
            <wp:extent cx="4791710" cy="2350770"/>
            <wp:effectExtent l="0" t="0" r="8890" b="0"/>
            <wp:docPr id="1690624062" name="Picture 1" descr="A collage of images of various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624062" name="Picture 1" descr="A collage of images of various colors&#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91710" cy="2350770"/>
                    </a:xfrm>
                    <a:prstGeom prst="rect">
                      <a:avLst/>
                    </a:prstGeom>
                    <a:noFill/>
                    <a:ln>
                      <a:noFill/>
                    </a:ln>
                  </pic:spPr>
                </pic:pic>
              </a:graphicData>
            </a:graphic>
          </wp:inline>
        </w:drawing>
      </w:r>
    </w:p>
    <w:p w14:paraId="37223E28" w14:textId="108D5D90" w:rsidR="00B7686D" w:rsidRDefault="00D611EA" w:rsidP="00EA25C2">
      <w:pPr>
        <w:pStyle w:val="12FigureCaptionLong"/>
      </w:pPr>
      <w:r w:rsidRPr="00C44B69">
        <w:rPr>
          <w:b/>
          <w:bCs/>
        </w:rPr>
        <w:t>Fig</w:t>
      </w:r>
      <w:r w:rsidR="00EE4DCA">
        <w:rPr>
          <w:b/>
          <w:bCs/>
        </w:rPr>
        <w:t>.</w:t>
      </w:r>
      <w:r w:rsidRPr="00C44B69">
        <w:rPr>
          <w:b/>
          <w:bCs/>
        </w:rPr>
        <w:t xml:space="preserve"> </w:t>
      </w:r>
      <w:r w:rsidR="00EE4DCA">
        <w:rPr>
          <w:b/>
          <w:bCs/>
        </w:rPr>
        <w:t>S</w:t>
      </w:r>
      <w:r w:rsidR="00782078">
        <w:rPr>
          <w:b/>
          <w:bCs/>
        </w:rPr>
        <w:t>4</w:t>
      </w:r>
      <w:r w:rsidR="00E908D2">
        <w:rPr>
          <w:b/>
          <w:bCs/>
        </w:rPr>
        <w:t>.</w:t>
      </w:r>
      <w:r w:rsidRPr="00C44B69">
        <w:t xml:space="preserve"> Revealing the temporal ONH microarchitecture in a 37-year-old subject with high myopia. AO-OCT reflectance (left), retardance (center), and optic axis orientation (right) are shown. The color change in the retardance and optic axis images represents their value change, which follows their respective color maps. The red arrowhead indicates the Brunch’s membrane opening. The yellow arrowheads indicate the laminar beam insertion. The green arrowheads indicate the path of the axon bundle (or dark trunk-like structure). </w:t>
      </w:r>
    </w:p>
    <w:p w14:paraId="18B67171" w14:textId="396B794C" w:rsidR="00C1651A" w:rsidRDefault="00C1651A" w:rsidP="00B21A1B">
      <w:pPr>
        <w:pStyle w:val="23ReferenceSectionHeader"/>
      </w:pPr>
      <w:r w:rsidRPr="00C1651A">
        <w:t>References</w:t>
      </w:r>
    </w:p>
    <w:p w14:paraId="7EA2DA90" w14:textId="77777777" w:rsidR="00AF77D4" w:rsidRPr="00AF77D4" w:rsidRDefault="00AF77D4" w:rsidP="00AF77D4">
      <w:pPr>
        <w:pStyle w:val="Bibliography"/>
        <w:rPr>
          <w:rFonts w:ascii="Times New Roman" w:hAnsi="Times New Roman" w:cs="Times New Roman"/>
          <w:sz w:val="16"/>
        </w:rPr>
      </w:pPr>
      <w:r>
        <w:fldChar w:fldCharType="begin"/>
      </w:r>
      <w:r>
        <w:instrText xml:space="preserve"> ADDIN ZOTERO_BIBL {"uncited":[],"omitted":[],"custom":[]} CSL_BIBLIOGRAPHY </w:instrText>
      </w:r>
      <w:r>
        <w:fldChar w:fldCharType="separate"/>
      </w:r>
      <w:r w:rsidRPr="00AF77D4">
        <w:rPr>
          <w:rFonts w:ascii="Times New Roman" w:hAnsi="Times New Roman" w:cs="Times New Roman"/>
          <w:sz w:val="16"/>
        </w:rPr>
        <w:t xml:space="preserve">1. </w:t>
      </w:r>
      <w:r w:rsidRPr="00AF77D4">
        <w:rPr>
          <w:rFonts w:ascii="Times New Roman" w:hAnsi="Times New Roman" w:cs="Times New Roman"/>
          <w:sz w:val="16"/>
        </w:rPr>
        <w:tab/>
        <w:t xml:space="preserve"> S. Jiao, W. Yu, G. Stoica, and LihongV. Wang, "Optical-fiber-based Mueller optical coherence tomography," Opt. Lett. </w:t>
      </w:r>
      <w:r w:rsidRPr="00AF77D4">
        <w:rPr>
          <w:rFonts w:ascii="Times New Roman" w:hAnsi="Times New Roman" w:cs="Times New Roman"/>
          <w:b/>
          <w:bCs/>
          <w:sz w:val="16"/>
        </w:rPr>
        <w:t>28</w:t>
      </w:r>
      <w:r w:rsidRPr="00AF77D4">
        <w:rPr>
          <w:rFonts w:ascii="Times New Roman" w:hAnsi="Times New Roman" w:cs="Times New Roman"/>
          <w:sz w:val="16"/>
        </w:rPr>
        <w:t>, 1206–1208 (2003).</w:t>
      </w:r>
    </w:p>
    <w:p w14:paraId="48A7CDA2"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2. </w:t>
      </w:r>
      <w:r w:rsidRPr="00AF77D4">
        <w:rPr>
          <w:rFonts w:ascii="Times New Roman" w:hAnsi="Times New Roman" w:cs="Times New Roman"/>
          <w:sz w:val="16"/>
        </w:rPr>
        <w:tab/>
        <w:t xml:space="preserve"> B. H. Park, M. C. Pierce, and J. F. de Boer, "Comment on “Optical-fiber-based Mueller optical coherence tomography,”" Opt. Lett., OL </w:t>
      </w:r>
      <w:r w:rsidRPr="00AF77D4">
        <w:rPr>
          <w:rFonts w:ascii="Times New Roman" w:hAnsi="Times New Roman" w:cs="Times New Roman"/>
          <w:b/>
          <w:bCs/>
          <w:sz w:val="16"/>
        </w:rPr>
        <w:t>29</w:t>
      </w:r>
      <w:r w:rsidRPr="00AF77D4">
        <w:rPr>
          <w:rFonts w:ascii="Times New Roman" w:hAnsi="Times New Roman" w:cs="Times New Roman"/>
          <w:sz w:val="16"/>
        </w:rPr>
        <w:t>, 2873–2874 (2004).</w:t>
      </w:r>
    </w:p>
    <w:p w14:paraId="68889B7D"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3. </w:t>
      </w:r>
      <w:r w:rsidRPr="00AF77D4">
        <w:rPr>
          <w:rFonts w:ascii="Times New Roman" w:hAnsi="Times New Roman" w:cs="Times New Roman"/>
          <w:sz w:val="16"/>
        </w:rPr>
        <w:tab/>
        <w:t xml:space="preserve"> W. Trasischker, S. Zotter, T. Torzicky, B. Baumann, R. Haindl, M. Pircher, and C. K. Hitzenberger, "Single input state polarization sensitive swept source optical coherence tomography based on an all single mode fiber interferometer," Biomed. Opt. Express </w:t>
      </w:r>
      <w:r w:rsidRPr="00AF77D4">
        <w:rPr>
          <w:rFonts w:ascii="Times New Roman" w:hAnsi="Times New Roman" w:cs="Times New Roman"/>
          <w:b/>
          <w:bCs/>
          <w:sz w:val="16"/>
        </w:rPr>
        <w:t>5</w:t>
      </w:r>
      <w:r w:rsidRPr="00AF77D4">
        <w:rPr>
          <w:rFonts w:ascii="Times New Roman" w:hAnsi="Times New Roman" w:cs="Times New Roman"/>
          <w:sz w:val="16"/>
        </w:rPr>
        <w:t>, 2798–2809 (2014).</w:t>
      </w:r>
    </w:p>
    <w:p w14:paraId="5BC1E9DE"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4. </w:t>
      </w:r>
      <w:r w:rsidRPr="00AF77D4">
        <w:rPr>
          <w:rFonts w:ascii="Times New Roman" w:hAnsi="Times New Roman" w:cs="Times New Roman"/>
          <w:sz w:val="16"/>
        </w:rPr>
        <w:tab/>
        <w:t xml:space="preserve"> N. Lippok, M. Villiger, C. Jun, and B. E. Bouma, "Single input state, single-mode fiber-based polarization-sensitive optical frequency domain imaging by eigenpolarization referencing," Opt. Lett., OL </w:t>
      </w:r>
      <w:r w:rsidRPr="00AF77D4">
        <w:rPr>
          <w:rFonts w:ascii="Times New Roman" w:hAnsi="Times New Roman" w:cs="Times New Roman"/>
          <w:b/>
          <w:bCs/>
          <w:sz w:val="16"/>
        </w:rPr>
        <w:t>40</w:t>
      </w:r>
      <w:r w:rsidRPr="00AF77D4">
        <w:rPr>
          <w:rFonts w:ascii="Times New Roman" w:hAnsi="Times New Roman" w:cs="Times New Roman"/>
          <w:sz w:val="16"/>
        </w:rPr>
        <w:t>, 2025–2028 (2015).</w:t>
      </w:r>
    </w:p>
    <w:p w14:paraId="3935D339"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5. </w:t>
      </w:r>
      <w:r w:rsidRPr="00AF77D4">
        <w:rPr>
          <w:rFonts w:ascii="Times New Roman" w:hAnsi="Times New Roman" w:cs="Times New Roman"/>
          <w:sz w:val="16"/>
        </w:rPr>
        <w:tab/>
        <w:t xml:space="preserve"> M. R. Hee, D. Huang, E. A. Swanson, and J. G. Fujimoto, "Polarization-sensitive low-coherence reflectometer for birefringence characterization and ranging," J. Opt. Soc. Am. B </w:t>
      </w:r>
      <w:r w:rsidRPr="00AF77D4">
        <w:rPr>
          <w:rFonts w:ascii="Times New Roman" w:hAnsi="Times New Roman" w:cs="Times New Roman"/>
          <w:b/>
          <w:bCs/>
          <w:sz w:val="16"/>
        </w:rPr>
        <w:t>9</w:t>
      </w:r>
      <w:r w:rsidRPr="00AF77D4">
        <w:rPr>
          <w:rFonts w:ascii="Times New Roman" w:hAnsi="Times New Roman" w:cs="Times New Roman"/>
          <w:sz w:val="16"/>
        </w:rPr>
        <w:t>, 903–908 (1992).</w:t>
      </w:r>
    </w:p>
    <w:p w14:paraId="60F508EC"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6. </w:t>
      </w:r>
      <w:r w:rsidRPr="00AF77D4">
        <w:rPr>
          <w:rFonts w:ascii="Times New Roman" w:hAnsi="Times New Roman" w:cs="Times New Roman"/>
          <w:sz w:val="16"/>
        </w:rPr>
        <w:tab/>
        <w:t xml:space="preserve"> K. Schoenenberger, B. W. Colston, D. J. Maitland, L. B. Da Silva, and M. J. Everett, "Mapping of Birefringence and Thermal Damage in Tissue by use of Polarization-Sensitive Optical Coherence Tomography," Appl. Opt. </w:t>
      </w:r>
      <w:r w:rsidRPr="00AF77D4">
        <w:rPr>
          <w:rFonts w:ascii="Times New Roman" w:hAnsi="Times New Roman" w:cs="Times New Roman"/>
          <w:b/>
          <w:bCs/>
          <w:sz w:val="16"/>
        </w:rPr>
        <w:t>37</w:t>
      </w:r>
      <w:r w:rsidRPr="00AF77D4">
        <w:rPr>
          <w:rFonts w:ascii="Times New Roman" w:hAnsi="Times New Roman" w:cs="Times New Roman"/>
          <w:sz w:val="16"/>
        </w:rPr>
        <w:t>, 6026–6036 (1998).</w:t>
      </w:r>
    </w:p>
    <w:p w14:paraId="3364300F"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7. </w:t>
      </w:r>
      <w:r w:rsidRPr="00AF77D4">
        <w:rPr>
          <w:rFonts w:ascii="Times New Roman" w:hAnsi="Times New Roman" w:cs="Times New Roman"/>
          <w:sz w:val="16"/>
        </w:rPr>
        <w:tab/>
        <w:t xml:space="preserve"> C. Hitzenberger, E. Goetzinger, M. Sticker, M. Pircher, and A. Fercher, "Measurement and imaging of birefringence and optic axis orientation by phase resolved polarization sensitive optical coherence tomography," Opt. Express </w:t>
      </w:r>
      <w:r w:rsidRPr="00AF77D4">
        <w:rPr>
          <w:rFonts w:ascii="Times New Roman" w:hAnsi="Times New Roman" w:cs="Times New Roman"/>
          <w:b/>
          <w:bCs/>
          <w:sz w:val="16"/>
        </w:rPr>
        <w:t>9</w:t>
      </w:r>
      <w:r w:rsidRPr="00AF77D4">
        <w:rPr>
          <w:rFonts w:ascii="Times New Roman" w:hAnsi="Times New Roman" w:cs="Times New Roman"/>
          <w:sz w:val="16"/>
        </w:rPr>
        <w:t>, 780–790 (2001).</w:t>
      </w:r>
    </w:p>
    <w:p w14:paraId="25947FA0"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8. </w:t>
      </w:r>
      <w:r w:rsidRPr="00AF77D4">
        <w:rPr>
          <w:rFonts w:ascii="Times New Roman" w:hAnsi="Times New Roman" w:cs="Times New Roman"/>
          <w:sz w:val="16"/>
        </w:rPr>
        <w:tab/>
        <w:t xml:space="preserve"> M. Mujat, B. H. Park, B. Cense, T. C. Chen, and J. F. de Boer, "Autocalibration of spectral-domain optical coherence tomography spectrometers for in vivo quantitative retinal nerve fiber layer birefringence determination," J. Biomed. Opt </w:t>
      </w:r>
      <w:r w:rsidRPr="00AF77D4">
        <w:rPr>
          <w:rFonts w:ascii="Times New Roman" w:hAnsi="Times New Roman" w:cs="Times New Roman"/>
          <w:b/>
          <w:bCs/>
          <w:sz w:val="16"/>
        </w:rPr>
        <w:t>12</w:t>
      </w:r>
      <w:r w:rsidRPr="00AF77D4">
        <w:rPr>
          <w:rFonts w:ascii="Times New Roman" w:hAnsi="Times New Roman" w:cs="Times New Roman"/>
          <w:sz w:val="16"/>
        </w:rPr>
        <w:t>, 041205–041205 (2007).</w:t>
      </w:r>
    </w:p>
    <w:p w14:paraId="4CF0DE3D"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9. </w:t>
      </w:r>
      <w:r w:rsidRPr="00AF77D4">
        <w:rPr>
          <w:rFonts w:ascii="Times New Roman" w:hAnsi="Times New Roman" w:cs="Times New Roman"/>
          <w:sz w:val="16"/>
        </w:rPr>
        <w:tab/>
        <w:t xml:space="preserve"> G. Häusler and M. W. Lindner, "“Coherence Radar” and “Spectral Radar”—New Tools for Dermatological Diagnosis," Journal of Biomedical Optics </w:t>
      </w:r>
      <w:r w:rsidRPr="00AF77D4">
        <w:rPr>
          <w:rFonts w:ascii="Times New Roman" w:hAnsi="Times New Roman" w:cs="Times New Roman"/>
          <w:b/>
          <w:bCs/>
          <w:sz w:val="16"/>
        </w:rPr>
        <w:t>3</w:t>
      </w:r>
      <w:r w:rsidRPr="00AF77D4">
        <w:rPr>
          <w:rFonts w:ascii="Times New Roman" w:hAnsi="Times New Roman" w:cs="Times New Roman"/>
          <w:sz w:val="16"/>
        </w:rPr>
        <w:t>, 21–31 (1998).</w:t>
      </w:r>
    </w:p>
    <w:p w14:paraId="4F8A9E14"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10. </w:t>
      </w:r>
      <w:r w:rsidRPr="00AF77D4">
        <w:rPr>
          <w:rFonts w:ascii="Times New Roman" w:hAnsi="Times New Roman" w:cs="Times New Roman"/>
          <w:sz w:val="16"/>
        </w:rPr>
        <w:tab/>
        <w:t xml:space="preserve"> M. Pircher, E. Götzinger, B. Baumann, and C. K. Hitzenberger, "Corneal birefringence compensation for polarization sensitive optical coherence tomography of the human retina," JBO </w:t>
      </w:r>
      <w:r w:rsidRPr="00AF77D4">
        <w:rPr>
          <w:rFonts w:ascii="Times New Roman" w:hAnsi="Times New Roman" w:cs="Times New Roman"/>
          <w:b/>
          <w:bCs/>
          <w:sz w:val="16"/>
        </w:rPr>
        <w:t>12</w:t>
      </w:r>
      <w:r w:rsidRPr="00AF77D4">
        <w:rPr>
          <w:rFonts w:ascii="Times New Roman" w:hAnsi="Times New Roman" w:cs="Times New Roman"/>
          <w:sz w:val="16"/>
        </w:rPr>
        <w:t>, 041210 (2007).</w:t>
      </w:r>
    </w:p>
    <w:p w14:paraId="13DF4FE4"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lastRenderedPageBreak/>
        <w:t xml:space="preserve">11. </w:t>
      </w:r>
      <w:r w:rsidRPr="00AF77D4">
        <w:rPr>
          <w:rFonts w:ascii="Times New Roman" w:hAnsi="Times New Roman" w:cs="Times New Roman"/>
          <w:sz w:val="16"/>
        </w:rPr>
        <w:tab/>
        <w:t xml:space="preserve"> J. Porter, H. Queener, J. Lin, K. Thorn, and A. A. S. Awwal, </w:t>
      </w:r>
      <w:r w:rsidRPr="00AF77D4">
        <w:rPr>
          <w:rFonts w:ascii="Times New Roman" w:hAnsi="Times New Roman" w:cs="Times New Roman"/>
          <w:i/>
          <w:iCs/>
          <w:sz w:val="16"/>
        </w:rPr>
        <w:t>Adaptive Optics for Vision Science: Principles, Practices, Design and Applications</w:t>
      </w:r>
      <w:r w:rsidRPr="00AF77D4">
        <w:rPr>
          <w:rFonts w:ascii="Times New Roman" w:hAnsi="Times New Roman" w:cs="Times New Roman"/>
          <w:sz w:val="16"/>
        </w:rPr>
        <w:t>, 1st ed. (Wiley-Interscience, 2006).</w:t>
      </w:r>
    </w:p>
    <w:p w14:paraId="7908A382"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12. </w:t>
      </w:r>
      <w:r w:rsidRPr="00AF77D4">
        <w:rPr>
          <w:rFonts w:ascii="Times New Roman" w:hAnsi="Times New Roman" w:cs="Times New Roman"/>
          <w:sz w:val="16"/>
        </w:rPr>
        <w:tab/>
        <w:t xml:space="preserve"> K. M. Hampson, R. Turcotte, D. T. Miller, K. Kurokawa, J. R. Males, N. Ji, and M. J. Booth, "Adaptive optics for high-resolution imaging," Nat Rev Methods Primers </w:t>
      </w:r>
      <w:r w:rsidRPr="00AF77D4">
        <w:rPr>
          <w:rFonts w:ascii="Times New Roman" w:hAnsi="Times New Roman" w:cs="Times New Roman"/>
          <w:b/>
          <w:bCs/>
          <w:sz w:val="16"/>
        </w:rPr>
        <w:t>1</w:t>
      </w:r>
      <w:r w:rsidRPr="00AF77D4">
        <w:rPr>
          <w:rFonts w:ascii="Times New Roman" w:hAnsi="Times New Roman" w:cs="Times New Roman"/>
          <w:sz w:val="16"/>
        </w:rPr>
        <w:t>, 1–26 (2021).</w:t>
      </w:r>
    </w:p>
    <w:p w14:paraId="5B75AF95"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13. </w:t>
      </w:r>
      <w:r w:rsidRPr="00AF77D4">
        <w:rPr>
          <w:rFonts w:ascii="Times New Roman" w:hAnsi="Times New Roman" w:cs="Times New Roman"/>
          <w:sz w:val="16"/>
        </w:rPr>
        <w:tab/>
        <w:t xml:space="preserve"> R. H. Webb, G. W. Hughes, and F. C. Delori, "Confocal scanning laser ophthalmoscope," Appl. Opt. </w:t>
      </w:r>
      <w:r w:rsidRPr="00AF77D4">
        <w:rPr>
          <w:rFonts w:ascii="Times New Roman" w:hAnsi="Times New Roman" w:cs="Times New Roman"/>
          <w:b/>
          <w:bCs/>
          <w:sz w:val="16"/>
        </w:rPr>
        <w:t>26</w:t>
      </w:r>
      <w:r w:rsidRPr="00AF77D4">
        <w:rPr>
          <w:rFonts w:ascii="Times New Roman" w:hAnsi="Times New Roman" w:cs="Times New Roman"/>
          <w:sz w:val="16"/>
        </w:rPr>
        <w:t>, 1492–1499 (1987).</w:t>
      </w:r>
    </w:p>
    <w:p w14:paraId="4CDDBC9F"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14. </w:t>
      </w:r>
      <w:r w:rsidRPr="00AF77D4">
        <w:rPr>
          <w:rFonts w:ascii="Times New Roman" w:hAnsi="Times New Roman" w:cs="Times New Roman"/>
          <w:sz w:val="16"/>
        </w:rPr>
        <w:tab/>
        <w:t xml:space="preserve"> S. A. Burns, R. Tumbar, A. E. Elsner, D. Ferguson, and D. X. Hammer, "Large-field-of-view, modular, stabilized, adaptive-optics-based scanning laser ophthalmoscope," J. Opt. Soc. Am. A </w:t>
      </w:r>
      <w:r w:rsidRPr="00AF77D4">
        <w:rPr>
          <w:rFonts w:ascii="Times New Roman" w:hAnsi="Times New Roman" w:cs="Times New Roman"/>
          <w:b/>
          <w:bCs/>
          <w:sz w:val="16"/>
        </w:rPr>
        <w:t>24</w:t>
      </w:r>
      <w:r w:rsidRPr="00AF77D4">
        <w:rPr>
          <w:rFonts w:ascii="Times New Roman" w:hAnsi="Times New Roman" w:cs="Times New Roman"/>
          <w:sz w:val="16"/>
        </w:rPr>
        <w:t>, 1313–1326 (2007).</w:t>
      </w:r>
    </w:p>
    <w:p w14:paraId="719A0344"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15. </w:t>
      </w:r>
      <w:r w:rsidRPr="00AF77D4">
        <w:rPr>
          <w:rFonts w:ascii="Times New Roman" w:hAnsi="Times New Roman" w:cs="Times New Roman"/>
          <w:sz w:val="16"/>
        </w:rPr>
        <w:tab/>
        <w:t xml:space="preserve"> A. Gómez-Vieyra, A. Dubra, D. Malacara-Hernández, and D. R. Williams, "First-order design of off-axis reflective ophthalmic adaptive optics systems using afocal telescopes," Opt. Express </w:t>
      </w:r>
      <w:r w:rsidRPr="00AF77D4">
        <w:rPr>
          <w:rFonts w:ascii="Times New Roman" w:hAnsi="Times New Roman" w:cs="Times New Roman"/>
          <w:b/>
          <w:bCs/>
          <w:sz w:val="16"/>
        </w:rPr>
        <w:t>17</w:t>
      </w:r>
      <w:r w:rsidRPr="00AF77D4">
        <w:rPr>
          <w:rFonts w:ascii="Times New Roman" w:hAnsi="Times New Roman" w:cs="Times New Roman"/>
          <w:sz w:val="16"/>
        </w:rPr>
        <w:t>, 18906–18919 (2009).</w:t>
      </w:r>
    </w:p>
    <w:p w14:paraId="3C7C29EF"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16. </w:t>
      </w:r>
      <w:r w:rsidRPr="00AF77D4">
        <w:rPr>
          <w:rFonts w:ascii="Times New Roman" w:hAnsi="Times New Roman" w:cs="Times New Roman"/>
          <w:sz w:val="16"/>
        </w:rPr>
        <w:tab/>
        <w:t xml:space="preserve"> K. Kurokawa, D. Tamada, S. Makita, and Y. Yasuno, "Adaptive optics retinal scanner for one-micrometer light source," Opt. Express </w:t>
      </w:r>
      <w:r w:rsidRPr="00AF77D4">
        <w:rPr>
          <w:rFonts w:ascii="Times New Roman" w:hAnsi="Times New Roman" w:cs="Times New Roman"/>
          <w:b/>
          <w:bCs/>
          <w:sz w:val="16"/>
        </w:rPr>
        <w:t>18</w:t>
      </w:r>
      <w:r w:rsidRPr="00AF77D4">
        <w:rPr>
          <w:rFonts w:ascii="Times New Roman" w:hAnsi="Times New Roman" w:cs="Times New Roman"/>
          <w:sz w:val="16"/>
        </w:rPr>
        <w:t>, 1406–1418 (2010).</w:t>
      </w:r>
    </w:p>
    <w:p w14:paraId="026194C3"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17. </w:t>
      </w:r>
      <w:r w:rsidRPr="00AF77D4">
        <w:rPr>
          <w:rFonts w:ascii="Times New Roman" w:hAnsi="Times New Roman" w:cs="Times New Roman"/>
          <w:sz w:val="16"/>
        </w:rPr>
        <w:tab/>
        <w:t xml:space="preserve"> J. J. Hunter, B. Masella, A. Dubra, R. Sharma, L. Yin, W. H. Merigan, G. Palczewska, K. Palczewski, and D. R. Williams, "Images of photoreceptors in living primate eyes using adaptive optics two-photon ophthalmoscopy," Biomed. Opt. Express, BOE </w:t>
      </w:r>
      <w:r w:rsidRPr="00AF77D4">
        <w:rPr>
          <w:rFonts w:ascii="Times New Roman" w:hAnsi="Times New Roman" w:cs="Times New Roman"/>
          <w:b/>
          <w:bCs/>
          <w:sz w:val="16"/>
        </w:rPr>
        <w:t>2</w:t>
      </w:r>
      <w:r w:rsidRPr="00AF77D4">
        <w:rPr>
          <w:rFonts w:ascii="Times New Roman" w:hAnsi="Times New Roman" w:cs="Times New Roman"/>
          <w:sz w:val="16"/>
        </w:rPr>
        <w:t>, 139–148 (2011).</w:t>
      </w:r>
    </w:p>
    <w:p w14:paraId="7494B5A2"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18. </w:t>
      </w:r>
      <w:r w:rsidRPr="00AF77D4">
        <w:rPr>
          <w:rFonts w:ascii="Times New Roman" w:hAnsi="Times New Roman" w:cs="Times New Roman"/>
          <w:sz w:val="16"/>
        </w:rPr>
        <w:tab/>
        <w:t xml:space="preserve"> W. S. T. Lam and R. Chipman, "Balancing polarization aberrations in crossed fold mirrors," Appl. Opt., AO </w:t>
      </w:r>
      <w:r w:rsidRPr="00AF77D4">
        <w:rPr>
          <w:rFonts w:ascii="Times New Roman" w:hAnsi="Times New Roman" w:cs="Times New Roman"/>
          <w:b/>
          <w:bCs/>
          <w:sz w:val="16"/>
        </w:rPr>
        <w:t>54</w:t>
      </w:r>
      <w:r w:rsidRPr="00AF77D4">
        <w:rPr>
          <w:rFonts w:ascii="Times New Roman" w:hAnsi="Times New Roman" w:cs="Times New Roman"/>
          <w:sz w:val="16"/>
        </w:rPr>
        <w:t>, 3236–3245 (2015).</w:t>
      </w:r>
    </w:p>
    <w:p w14:paraId="0808FBEC"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19. </w:t>
      </w:r>
      <w:r w:rsidRPr="00AF77D4">
        <w:rPr>
          <w:rFonts w:ascii="Times New Roman" w:hAnsi="Times New Roman" w:cs="Times New Roman"/>
          <w:sz w:val="16"/>
        </w:rPr>
        <w:tab/>
        <w:t xml:space="preserve"> J. M. Bueno and J. Jaronski, "Spatially resolved polarization properties for in vitro corneas," Ophthalmic and Physiological Optics </w:t>
      </w:r>
      <w:r w:rsidRPr="00AF77D4">
        <w:rPr>
          <w:rFonts w:ascii="Times New Roman" w:hAnsi="Times New Roman" w:cs="Times New Roman"/>
          <w:b/>
          <w:bCs/>
          <w:sz w:val="16"/>
        </w:rPr>
        <w:t>21</w:t>
      </w:r>
      <w:r w:rsidRPr="00AF77D4">
        <w:rPr>
          <w:rFonts w:ascii="Times New Roman" w:hAnsi="Times New Roman" w:cs="Times New Roman"/>
          <w:sz w:val="16"/>
        </w:rPr>
        <w:t>, 384–392 (2001).</w:t>
      </w:r>
    </w:p>
    <w:p w14:paraId="5BB53EB6"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20. </w:t>
      </w:r>
      <w:r w:rsidRPr="00AF77D4">
        <w:rPr>
          <w:rFonts w:ascii="Times New Roman" w:hAnsi="Times New Roman" w:cs="Times New Roman"/>
          <w:sz w:val="16"/>
        </w:rPr>
        <w:tab/>
        <w:t xml:space="preserve"> B. Cense, W. Gao, J. M. Brown, S. M. Jones, R. S. Jonnal, M. Mujat, B. H. Park, J. F. de Boer, and D. T. Miller, "Retinal imaging with polarization-sensitive optical coherence tomography and adaptive optics," Opt. Express </w:t>
      </w:r>
      <w:r w:rsidRPr="00AF77D4">
        <w:rPr>
          <w:rFonts w:ascii="Times New Roman" w:hAnsi="Times New Roman" w:cs="Times New Roman"/>
          <w:b/>
          <w:bCs/>
          <w:sz w:val="16"/>
        </w:rPr>
        <w:t>17</w:t>
      </w:r>
      <w:r w:rsidRPr="00AF77D4">
        <w:rPr>
          <w:rFonts w:ascii="Times New Roman" w:hAnsi="Times New Roman" w:cs="Times New Roman"/>
          <w:sz w:val="16"/>
        </w:rPr>
        <w:t>, 21634–21651 (2009).</w:t>
      </w:r>
    </w:p>
    <w:p w14:paraId="5333ABE0"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21. </w:t>
      </w:r>
      <w:r w:rsidRPr="00AF77D4">
        <w:rPr>
          <w:rFonts w:ascii="Times New Roman" w:hAnsi="Times New Roman" w:cs="Times New Roman"/>
          <w:sz w:val="16"/>
        </w:rPr>
        <w:tab/>
        <w:t xml:space="preserve"> M. J. Ju, Y.-J. Hong, S. Makita, Y. Lim, K. Kurokawa, L. Duan, M. Miura, S. Tang, and Y. Yasuno, "Advanced multi-contrast Jones matrix optical coherence tomography for Doppler and polarization sensitive imaging," Opt. Express </w:t>
      </w:r>
      <w:r w:rsidRPr="00AF77D4">
        <w:rPr>
          <w:rFonts w:ascii="Times New Roman" w:hAnsi="Times New Roman" w:cs="Times New Roman"/>
          <w:b/>
          <w:bCs/>
          <w:sz w:val="16"/>
        </w:rPr>
        <w:t>21</w:t>
      </w:r>
      <w:r w:rsidRPr="00AF77D4">
        <w:rPr>
          <w:rFonts w:ascii="Times New Roman" w:hAnsi="Times New Roman" w:cs="Times New Roman"/>
          <w:sz w:val="16"/>
        </w:rPr>
        <w:t>, 19412–19436 (2013).</w:t>
      </w:r>
    </w:p>
    <w:p w14:paraId="00558F77"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22. </w:t>
      </w:r>
      <w:r w:rsidRPr="00AF77D4">
        <w:rPr>
          <w:rFonts w:ascii="Times New Roman" w:hAnsi="Times New Roman" w:cs="Times New Roman"/>
          <w:sz w:val="16"/>
        </w:rPr>
        <w:tab/>
        <w:t xml:space="preserve"> K. Kurokawa, J. A. Crowell, N. Do, J. J. Lee, and D. T. Miller, "Multi-reference global registration of individual A-lines in adaptive optics optical coherence tomography retinal images," JBO </w:t>
      </w:r>
      <w:r w:rsidRPr="00AF77D4">
        <w:rPr>
          <w:rFonts w:ascii="Times New Roman" w:hAnsi="Times New Roman" w:cs="Times New Roman"/>
          <w:b/>
          <w:bCs/>
          <w:sz w:val="16"/>
        </w:rPr>
        <w:t>26</w:t>
      </w:r>
      <w:r w:rsidRPr="00AF77D4">
        <w:rPr>
          <w:rFonts w:ascii="Times New Roman" w:hAnsi="Times New Roman" w:cs="Times New Roman"/>
          <w:sz w:val="16"/>
        </w:rPr>
        <w:t>, 016001 (2021).</w:t>
      </w:r>
    </w:p>
    <w:p w14:paraId="6D6D6899" w14:textId="77777777" w:rsidR="00AF77D4" w:rsidRPr="00AF77D4" w:rsidRDefault="00AF77D4" w:rsidP="00AF77D4">
      <w:pPr>
        <w:pStyle w:val="Bibliography"/>
        <w:rPr>
          <w:rFonts w:ascii="Times New Roman" w:hAnsi="Times New Roman" w:cs="Times New Roman"/>
          <w:sz w:val="16"/>
        </w:rPr>
      </w:pPr>
      <w:r w:rsidRPr="00AF77D4">
        <w:rPr>
          <w:rFonts w:ascii="Times New Roman" w:hAnsi="Times New Roman" w:cs="Times New Roman"/>
          <w:sz w:val="16"/>
        </w:rPr>
        <w:t xml:space="preserve">23. </w:t>
      </w:r>
      <w:r w:rsidRPr="00AF77D4">
        <w:rPr>
          <w:rFonts w:ascii="Times New Roman" w:hAnsi="Times New Roman" w:cs="Times New Roman"/>
          <w:sz w:val="16"/>
        </w:rPr>
        <w:tab/>
        <w:t xml:space="preserve"> A. de Castro, L. Sawides, X. Qi, and S. A. Burns, "Adaptive optics retinal imaging with automatic detection of the pupil and its boundary in real time using Shack&amp;#x2013;Hartmann images," Appl. Opt., AO </w:t>
      </w:r>
      <w:r w:rsidRPr="00AF77D4">
        <w:rPr>
          <w:rFonts w:ascii="Times New Roman" w:hAnsi="Times New Roman" w:cs="Times New Roman"/>
          <w:b/>
          <w:bCs/>
          <w:sz w:val="16"/>
        </w:rPr>
        <w:t>56</w:t>
      </w:r>
      <w:r w:rsidRPr="00AF77D4">
        <w:rPr>
          <w:rFonts w:ascii="Times New Roman" w:hAnsi="Times New Roman" w:cs="Times New Roman"/>
          <w:sz w:val="16"/>
        </w:rPr>
        <w:t>, 6748–6754 (2017).</w:t>
      </w:r>
    </w:p>
    <w:p w14:paraId="3DE577A7" w14:textId="2D4BF179" w:rsidR="00B21A1B" w:rsidRPr="00B21A1B" w:rsidRDefault="00AF77D4" w:rsidP="009F585C">
      <w:pPr>
        <w:pStyle w:val="24References"/>
        <w:numPr>
          <w:ilvl w:val="0"/>
          <w:numId w:val="0"/>
        </w:numPr>
        <w:ind w:left="360" w:hanging="360"/>
      </w:pPr>
      <w:r>
        <w:fldChar w:fldCharType="end"/>
      </w:r>
    </w:p>
    <w:sectPr w:rsidR="00B21A1B" w:rsidRPr="00B21A1B" w:rsidSect="0081577A">
      <w:pgSz w:w="12240" w:h="15840"/>
      <w:pgMar w:top="1872" w:right="2347" w:bottom="1872" w:left="234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56C67CE"/>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A046946"/>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EAC41E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432425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3FCE5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DA686BC"/>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9B600B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584915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77C0D2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E844BD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93A33AD"/>
    <w:multiLevelType w:val="hybridMultilevel"/>
    <w:tmpl w:val="831E8016"/>
    <w:lvl w:ilvl="0" w:tplc="2AE4E9C6">
      <w:start w:val="1"/>
      <w:numFmt w:val="bullet"/>
      <w:pStyle w:val="17ListBulleted"/>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0C497324"/>
    <w:multiLevelType w:val="hybridMultilevel"/>
    <w:tmpl w:val="0E507C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4010ED4"/>
    <w:multiLevelType w:val="multilevel"/>
    <w:tmpl w:val="72E88FE4"/>
    <w:lvl w:ilvl="0">
      <w:start w:val="1"/>
      <w:numFmt w:val="decimal"/>
      <w:pStyle w:val="08SectionHeader1"/>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3" w15:restartNumberingAfterBreak="0">
    <w:nsid w:val="18C57920"/>
    <w:multiLevelType w:val="hybridMultilevel"/>
    <w:tmpl w:val="4F4CAA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D772220"/>
    <w:multiLevelType w:val="hybridMultilevel"/>
    <w:tmpl w:val="4C54C734"/>
    <w:lvl w:ilvl="0" w:tplc="D04ED72E">
      <w:start w:val="1"/>
      <w:numFmt w:val="decimal"/>
      <w:pStyle w:val="24References"/>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31BD6A6A"/>
    <w:multiLevelType w:val="hybridMultilevel"/>
    <w:tmpl w:val="412CBE6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3B557C90"/>
    <w:multiLevelType w:val="hybridMultilevel"/>
    <w:tmpl w:val="DEB6A4F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3BC11591"/>
    <w:multiLevelType w:val="hybridMultilevel"/>
    <w:tmpl w:val="265E3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49929DE"/>
    <w:multiLevelType w:val="hybridMultilevel"/>
    <w:tmpl w:val="D6FE65AC"/>
    <w:lvl w:ilvl="0" w:tplc="FB5EEEB8">
      <w:start w:val="1"/>
      <w:numFmt w:val="decimal"/>
      <w:pStyle w:val="19ListNumber1"/>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7BB6430"/>
    <w:multiLevelType w:val="hybridMultilevel"/>
    <w:tmpl w:val="2138BE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602A0A"/>
    <w:multiLevelType w:val="hybridMultilevel"/>
    <w:tmpl w:val="5B621E72"/>
    <w:lvl w:ilvl="0" w:tplc="805A9A1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6B3B1349"/>
    <w:multiLevelType w:val="hybridMultilevel"/>
    <w:tmpl w:val="F906F310"/>
    <w:lvl w:ilvl="0" w:tplc="26A61E82">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6EC84BF4"/>
    <w:multiLevelType w:val="hybridMultilevel"/>
    <w:tmpl w:val="D6761426"/>
    <w:lvl w:ilvl="0" w:tplc="C3BE05EE">
      <w:start w:val="1"/>
      <w:numFmt w:val="lowerLetter"/>
      <w:pStyle w:val="19ListNumber2"/>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16cid:durableId="1952084707">
    <w:abstractNumId w:val="14"/>
  </w:num>
  <w:num w:numId="2" w16cid:durableId="610090257">
    <w:abstractNumId w:val="20"/>
  </w:num>
  <w:num w:numId="3" w16cid:durableId="113791733">
    <w:abstractNumId w:val="13"/>
  </w:num>
  <w:num w:numId="4" w16cid:durableId="458183915">
    <w:abstractNumId w:val="16"/>
  </w:num>
  <w:num w:numId="5" w16cid:durableId="1784958467">
    <w:abstractNumId w:val="12"/>
  </w:num>
  <w:num w:numId="6" w16cid:durableId="607011139">
    <w:abstractNumId w:val="19"/>
  </w:num>
  <w:num w:numId="7" w16cid:durableId="1607814195">
    <w:abstractNumId w:val="18"/>
  </w:num>
  <w:num w:numId="8" w16cid:durableId="676156549">
    <w:abstractNumId w:val="22"/>
  </w:num>
  <w:num w:numId="9" w16cid:durableId="196240792">
    <w:abstractNumId w:val="10"/>
  </w:num>
  <w:num w:numId="10" w16cid:durableId="606960698">
    <w:abstractNumId w:val="9"/>
  </w:num>
  <w:num w:numId="11" w16cid:durableId="1797601981">
    <w:abstractNumId w:val="7"/>
  </w:num>
  <w:num w:numId="12" w16cid:durableId="1438062317">
    <w:abstractNumId w:val="6"/>
  </w:num>
  <w:num w:numId="13" w16cid:durableId="119155162">
    <w:abstractNumId w:val="5"/>
  </w:num>
  <w:num w:numId="14" w16cid:durableId="451023633">
    <w:abstractNumId w:val="4"/>
  </w:num>
  <w:num w:numId="15" w16cid:durableId="1410663333">
    <w:abstractNumId w:val="8"/>
  </w:num>
  <w:num w:numId="16" w16cid:durableId="840966882">
    <w:abstractNumId w:val="3"/>
  </w:num>
  <w:num w:numId="17" w16cid:durableId="238290000">
    <w:abstractNumId w:val="2"/>
  </w:num>
  <w:num w:numId="18" w16cid:durableId="1821650435">
    <w:abstractNumId w:val="1"/>
  </w:num>
  <w:num w:numId="19" w16cid:durableId="1652830103">
    <w:abstractNumId w:val="0"/>
  </w:num>
  <w:num w:numId="20" w16cid:durableId="1756172466">
    <w:abstractNumId w:val="21"/>
  </w:num>
  <w:num w:numId="21" w16cid:durableId="844055143">
    <w:abstractNumId w:val="11"/>
  </w:num>
  <w:num w:numId="22" w16cid:durableId="731661782">
    <w:abstractNumId w:val="17"/>
  </w:num>
  <w:num w:numId="23" w16cid:durableId="200527477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6" w:nlCheck="1" w:checkStyle="0"/>
  <w:activeWritingStyle w:appName="MSWord" w:lang="en-US" w:vendorID="64" w:dllVersion="6" w:nlCheck="1" w:checkStyle="1"/>
  <w:activeWritingStyle w:appName="MSWord" w:lang="en-US" w:vendorID="64" w:dllVersion="4096" w:nlCheck="1" w:checkStyle="0"/>
  <w:activeWritingStyle w:appName="MSWord" w:lang="en-US" w:vendorID="64" w:dllVersion="0" w:nlCheck="1" w:checkStyle="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jAxNrQwMDAyMDW3NLVQ0lEKTi0uzszPAykwrwUA0K7QdCwAAAA="/>
  </w:docVars>
  <w:rsids>
    <w:rsidRoot w:val="006E3663"/>
    <w:rsid w:val="000003A5"/>
    <w:rsid w:val="00002E70"/>
    <w:rsid w:val="00022A47"/>
    <w:rsid w:val="00025EED"/>
    <w:rsid w:val="000279CD"/>
    <w:rsid w:val="00036639"/>
    <w:rsid w:val="000366A8"/>
    <w:rsid w:val="000474C8"/>
    <w:rsid w:val="000615EE"/>
    <w:rsid w:val="00062D82"/>
    <w:rsid w:val="00081406"/>
    <w:rsid w:val="00086BC8"/>
    <w:rsid w:val="00087805"/>
    <w:rsid w:val="00092896"/>
    <w:rsid w:val="000A1A24"/>
    <w:rsid w:val="000A4790"/>
    <w:rsid w:val="000B0402"/>
    <w:rsid w:val="000D7D73"/>
    <w:rsid w:val="00116DF0"/>
    <w:rsid w:val="0012111D"/>
    <w:rsid w:val="00125833"/>
    <w:rsid w:val="00134D11"/>
    <w:rsid w:val="00152652"/>
    <w:rsid w:val="00176184"/>
    <w:rsid w:val="0018075C"/>
    <w:rsid w:val="001920EE"/>
    <w:rsid w:val="001A28CD"/>
    <w:rsid w:val="001C1A8F"/>
    <w:rsid w:val="001E01C7"/>
    <w:rsid w:val="0020118A"/>
    <w:rsid w:val="002242B0"/>
    <w:rsid w:val="00225C31"/>
    <w:rsid w:val="00225EE0"/>
    <w:rsid w:val="00241F85"/>
    <w:rsid w:val="00271DF7"/>
    <w:rsid w:val="00285F00"/>
    <w:rsid w:val="00296275"/>
    <w:rsid w:val="002A2E82"/>
    <w:rsid w:val="002D43D6"/>
    <w:rsid w:val="002D66BB"/>
    <w:rsid w:val="002E0DDB"/>
    <w:rsid w:val="002E2F1C"/>
    <w:rsid w:val="002F13BA"/>
    <w:rsid w:val="002F14ED"/>
    <w:rsid w:val="002F389C"/>
    <w:rsid w:val="00331AB2"/>
    <w:rsid w:val="00333C67"/>
    <w:rsid w:val="003438A2"/>
    <w:rsid w:val="00350965"/>
    <w:rsid w:val="0036209C"/>
    <w:rsid w:val="00362204"/>
    <w:rsid w:val="00367090"/>
    <w:rsid w:val="00383428"/>
    <w:rsid w:val="00394FAA"/>
    <w:rsid w:val="003B1339"/>
    <w:rsid w:val="003F2F9F"/>
    <w:rsid w:val="003F7185"/>
    <w:rsid w:val="004048F5"/>
    <w:rsid w:val="00416CDD"/>
    <w:rsid w:val="00432E94"/>
    <w:rsid w:val="00435547"/>
    <w:rsid w:val="00441E66"/>
    <w:rsid w:val="00455298"/>
    <w:rsid w:val="0046510A"/>
    <w:rsid w:val="00476800"/>
    <w:rsid w:val="0048331C"/>
    <w:rsid w:val="00497360"/>
    <w:rsid w:val="004A7F7F"/>
    <w:rsid w:val="004C5E74"/>
    <w:rsid w:val="004C6BF8"/>
    <w:rsid w:val="004D54AD"/>
    <w:rsid w:val="004D79BA"/>
    <w:rsid w:val="004E5380"/>
    <w:rsid w:val="004F6039"/>
    <w:rsid w:val="00535347"/>
    <w:rsid w:val="00560F5B"/>
    <w:rsid w:val="00570610"/>
    <w:rsid w:val="00591164"/>
    <w:rsid w:val="00595A48"/>
    <w:rsid w:val="005A33E2"/>
    <w:rsid w:val="005B641F"/>
    <w:rsid w:val="005C5922"/>
    <w:rsid w:val="005E4C13"/>
    <w:rsid w:val="005F4008"/>
    <w:rsid w:val="005F4697"/>
    <w:rsid w:val="006005DA"/>
    <w:rsid w:val="0060779F"/>
    <w:rsid w:val="00623D88"/>
    <w:rsid w:val="006270B3"/>
    <w:rsid w:val="00643829"/>
    <w:rsid w:val="006508E1"/>
    <w:rsid w:val="00674706"/>
    <w:rsid w:val="006A4722"/>
    <w:rsid w:val="006B1167"/>
    <w:rsid w:val="006B3013"/>
    <w:rsid w:val="006E097B"/>
    <w:rsid w:val="006E3663"/>
    <w:rsid w:val="00701257"/>
    <w:rsid w:val="00710C42"/>
    <w:rsid w:val="007157C5"/>
    <w:rsid w:val="00762B85"/>
    <w:rsid w:val="00782078"/>
    <w:rsid w:val="007A717D"/>
    <w:rsid w:val="007B2071"/>
    <w:rsid w:val="007B6528"/>
    <w:rsid w:val="007D7494"/>
    <w:rsid w:val="007E1A52"/>
    <w:rsid w:val="007F35CC"/>
    <w:rsid w:val="0080185D"/>
    <w:rsid w:val="00804B3B"/>
    <w:rsid w:val="00804C9B"/>
    <w:rsid w:val="00810138"/>
    <w:rsid w:val="0081577A"/>
    <w:rsid w:val="00824C53"/>
    <w:rsid w:val="00827E21"/>
    <w:rsid w:val="00844D90"/>
    <w:rsid w:val="00875F1C"/>
    <w:rsid w:val="0088540F"/>
    <w:rsid w:val="008B5DC0"/>
    <w:rsid w:val="008C57CE"/>
    <w:rsid w:val="008E4E83"/>
    <w:rsid w:val="00907C09"/>
    <w:rsid w:val="009418C0"/>
    <w:rsid w:val="009508BC"/>
    <w:rsid w:val="00950D7C"/>
    <w:rsid w:val="00951054"/>
    <w:rsid w:val="00972C88"/>
    <w:rsid w:val="00974BEF"/>
    <w:rsid w:val="009909E8"/>
    <w:rsid w:val="00994199"/>
    <w:rsid w:val="009F585C"/>
    <w:rsid w:val="009F6FAA"/>
    <w:rsid w:val="00A035D7"/>
    <w:rsid w:val="00A05A2A"/>
    <w:rsid w:val="00A06C24"/>
    <w:rsid w:val="00A3533C"/>
    <w:rsid w:val="00A362E7"/>
    <w:rsid w:val="00A40EFB"/>
    <w:rsid w:val="00A52528"/>
    <w:rsid w:val="00A55B30"/>
    <w:rsid w:val="00A568B6"/>
    <w:rsid w:val="00A62764"/>
    <w:rsid w:val="00A8295C"/>
    <w:rsid w:val="00A93B47"/>
    <w:rsid w:val="00A94BE2"/>
    <w:rsid w:val="00AC0A79"/>
    <w:rsid w:val="00AC3929"/>
    <w:rsid w:val="00AE6551"/>
    <w:rsid w:val="00AF14B4"/>
    <w:rsid w:val="00AF719D"/>
    <w:rsid w:val="00AF77D4"/>
    <w:rsid w:val="00B00EBF"/>
    <w:rsid w:val="00B21A1B"/>
    <w:rsid w:val="00B345AD"/>
    <w:rsid w:val="00B402B9"/>
    <w:rsid w:val="00B42950"/>
    <w:rsid w:val="00B7453C"/>
    <w:rsid w:val="00B75E1C"/>
    <w:rsid w:val="00B7686D"/>
    <w:rsid w:val="00B971C8"/>
    <w:rsid w:val="00BB73D5"/>
    <w:rsid w:val="00BC55D1"/>
    <w:rsid w:val="00BD2F0B"/>
    <w:rsid w:val="00BF64A9"/>
    <w:rsid w:val="00C1651A"/>
    <w:rsid w:val="00C202EA"/>
    <w:rsid w:val="00C413BF"/>
    <w:rsid w:val="00C65889"/>
    <w:rsid w:val="00C86E6A"/>
    <w:rsid w:val="00C87362"/>
    <w:rsid w:val="00C90584"/>
    <w:rsid w:val="00C9058D"/>
    <w:rsid w:val="00CB0396"/>
    <w:rsid w:val="00CD0466"/>
    <w:rsid w:val="00CE587E"/>
    <w:rsid w:val="00D06067"/>
    <w:rsid w:val="00D07434"/>
    <w:rsid w:val="00D17389"/>
    <w:rsid w:val="00D2683C"/>
    <w:rsid w:val="00D4248B"/>
    <w:rsid w:val="00D44604"/>
    <w:rsid w:val="00D611EA"/>
    <w:rsid w:val="00D91A4A"/>
    <w:rsid w:val="00DA3F5C"/>
    <w:rsid w:val="00DB798B"/>
    <w:rsid w:val="00DD2514"/>
    <w:rsid w:val="00DD6FB4"/>
    <w:rsid w:val="00DF10EB"/>
    <w:rsid w:val="00DF6C7C"/>
    <w:rsid w:val="00E00665"/>
    <w:rsid w:val="00E029E7"/>
    <w:rsid w:val="00E45122"/>
    <w:rsid w:val="00E71198"/>
    <w:rsid w:val="00E86B64"/>
    <w:rsid w:val="00E908D2"/>
    <w:rsid w:val="00EA0214"/>
    <w:rsid w:val="00EA25C2"/>
    <w:rsid w:val="00EA7F42"/>
    <w:rsid w:val="00EB38EC"/>
    <w:rsid w:val="00EC0262"/>
    <w:rsid w:val="00EC755F"/>
    <w:rsid w:val="00ED2C69"/>
    <w:rsid w:val="00ED50CB"/>
    <w:rsid w:val="00EE4DCA"/>
    <w:rsid w:val="00EF09E8"/>
    <w:rsid w:val="00EF1167"/>
    <w:rsid w:val="00F33E52"/>
    <w:rsid w:val="00F34FE5"/>
    <w:rsid w:val="00F3556C"/>
    <w:rsid w:val="00F4583C"/>
    <w:rsid w:val="00F75B1B"/>
    <w:rsid w:val="00F81715"/>
    <w:rsid w:val="00F92333"/>
    <w:rsid w:val="00F930F9"/>
    <w:rsid w:val="00F969F1"/>
    <w:rsid w:val="00FA1BFD"/>
    <w:rsid w:val="00FB1919"/>
    <w:rsid w:val="00FC10AC"/>
    <w:rsid w:val="00FC5DCC"/>
    <w:rsid w:val="00FD5E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EAA1FA"/>
  <w15:docId w15:val="{3CF04A3C-FF5E-45C1-A1F9-D8D8E8A553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rsid w:val="0020118A"/>
  </w:style>
  <w:style w:type="paragraph" w:styleId="Heading1">
    <w:name w:val="heading 1"/>
    <w:basedOn w:val="Normal"/>
    <w:next w:val="Normal"/>
    <w:link w:val="Heading1Char"/>
    <w:uiPriority w:val="9"/>
    <w:rsid w:val="006270B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1Title">
    <w:name w:val="01. Title"/>
    <w:basedOn w:val="Normal"/>
    <w:next w:val="02Author"/>
    <w:qFormat/>
    <w:rsid w:val="000615EE"/>
    <w:pPr>
      <w:spacing w:after="0" w:line="240" w:lineRule="auto"/>
    </w:pPr>
    <w:rPr>
      <w:rFonts w:ascii="Arial" w:hAnsi="Arial"/>
      <w:b/>
      <w:spacing w:val="10"/>
      <w:kern w:val="32"/>
      <w:sz w:val="32"/>
    </w:rPr>
  </w:style>
  <w:style w:type="paragraph" w:customStyle="1" w:styleId="02Author-BOE">
    <w:name w:val="02. Author - BOE"/>
    <w:basedOn w:val="01Title"/>
    <w:next w:val="03AuthorAffiliation"/>
    <w:rsid w:val="000615EE"/>
    <w:pPr>
      <w:spacing w:before="240" w:after="80"/>
    </w:pPr>
    <w:rPr>
      <w:smallCaps/>
      <w:color w:val="7C130E"/>
      <w:spacing w:val="0"/>
      <w:kern w:val="0"/>
      <w:sz w:val="24"/>
    </w:rPr>
  </w:style>
  <w:style w:type="paragraph" w:customStyle="1" w:styleId="10BodySubsequentParagraph">
    <w:name w:val="10. Body Subsequent Paragraph"/>
    <w:basedOn w:val="09BodyFirstParagraph"/>
    <w:link w:val="10BodySubsequentParagraphChar"/>
    <w:qFormat/>
    <w:rsid w:val="00A568B6"/>
    <w:pPr>
      <w:spacing w:before="0"/>
      <w:ind w:firstLine="288"/>
    </w:pPr>
  </w:style>
  <w:style w:type="paragraph" w:customStyle="1" w:styleId="03AuthorAffiliation">
    <w:name w:val="03. Author Affiliation"/>
    <w:basedOn w:val="NoSpacing"/>
    <w:next w:val="04Email"/>
    <w:qFormat/>
    <w:rsid w:val="00CE587E"/>
    <w:rPr>
      <w:rFonts w:ascii="Times New Roman" w:hAnsi="Times New Roman"/>
      <w:i/>
      <w:sz w:val="18"/>
    </w:rPr>
  </w:style>
  <w:style w:type="paragraph" w:customStyle="1" w:styleId="02Author-OE">
    <w:name w:val="02. Author - OE"/>
    <w:basedOn w:val="02Author-BOE"/>
    <w:next w:val="03AuthorAffiliation"/>
    <w:rsid w:val="00CE587E"/>
    <w:rPr>
      <w:color w:val="943634"/>
    </w:rPr>
  </w:style>
  <w:style w:type="paragraph" w:styleId="NoSpacing">
    <w:name w:val="No Spacing"/>
    <w:uiPriority w:val="1"/>
    <w:rsid w:val="009909E8"/>
    <w:pPr>
      <w:spacing w:after="0" w:line="240" w:lineRule="auto"/>
    </w:pPr>
  </w:style>
  <w:style w:type="paragraph" w:customStyle="1" w:styleId="02Author-OME">
    <w:name w:val="02. Author - OME"/>
    <w:basedOn w:val="02Author-BOE"/>
    <w:next w:val="03AuthorAffiliation"/>
    <w:rsid w:val="00416CDD"/>
    <w:rPr>
      <w:color w:val="1478B6"/>
    </w:rPr>
  </w:style>
  <w:style w:type="paragraph" w:customStyle="1" w:styleId="04Email">
    <w:name w:val="04. Email"/>
    <w:basedOn w:val="03AuthorAffiliation"/>
    <w:next w:val="06AbstractBody"/>
    <w:qFormat/>
    <w:rsid w:val="00416CDD"/>
    <w:rPr>
      <w:color w:val="2E2EB1"/>
    </w:rPr>
  </w:style>
  <w:style w:type="paragraph" w:customStyle="1" w:styleId="23ReferenceSectionHeader">
    <w:name w:val="23. Reference Section Header"/>
    <w:next w:val="24References"/>
    <w:qFormat/>
    <w:rsid w:val="007F35CC"/>
    <w:pPr>
      <w:spacing w:before="120" w:after="120" w:line="240" w:lineRule="auto"/>
    </w:pPr>
    <w:rPr>
      <w:rFonts w:ascii="Arial" w:hAnsi="Arial"/>
      <w:b/>
      <w:sz w:val="20"/>
    </w:rPr>
  </w:style>
  <w:style w:type="paragraph" w:customStyle="1" w:styleId="06AbstractBody">
    <w:name w:val="06. Abstract Body"/>
    <w:next w:val="07Copyright"/>
    <w:link w:val="06AbstractBodyChar"/>
    <w:qFormat/>
    <w:rsid w:val="00BF64A9"/>
    <w:pPr>
      <w:spacing w:before="240" w:after="0" w:line="240" w:lineRule="auto"/>
      <w:jc w:val="both"/>
    </w:pPr>
    <w:rPr>
      <w:rFonts w:ascii="Times New Roman" w:hAnsi="Times New Roman"/>
      <w:color w:val="000000" w:themeColor="text1"/>
      <w:sz w:val="20"/>
    </w:rPr>
  </w:style>
  <w:style w:type="paragraph" w:customStyle="1" w:styleId="07Copyright">
    <w:name w:val="07. Copyright"/>
    <w:basedOn w:val="06AbstractBody"/>
    <w:next w:val="08SectionHeader1"/>
    <w:qFormat/>
    <w:rsid w:val="0036209C"/>
    <w:pPr>
      <w:spacing w:after="240"/>
    </w:pPr>
    <w:rPr>
      <w:rFonts w:ascii="Arial" w:hAnsi="Arial"/>
      <w:sz w:val="16"/>
    </w:rPr>
  </w:style>
  <w:style w:type="paragraph" w:customStyle="1" w:styleId="24References">
    <w:name w:val="24. References"/>
    <w:qFormat/>
    <w:rsid w:val="00C90584"/>
    <w:pPr>
      <w:numPr>
        <w:numId w:val="1"/>
      </w:numPr>
      <w:spacing w:after="0" w:line="240" w:lineRule="auto"/>
    </w:pPr>
    <w:rPr>
      <w:rFonts w:ascii="Times New Roman" w:hAnsi="Times New Roman"/>
      <w:sz w:val="16"/>
    </w:rPr>
  </w:style>
  <w:style w:type="paragraph" w:customStyle="1" w:styleId="08SectionHeader1">
    <w:name w:val="08 Section Header 1"/>
    <w:next w:val="09BodyFirstParagraph"/>
    <w:qFormat/>
    <w:rsid w:val="00BF64A9"/>
    <w:pPr>
      <w:numPr>
        <w:numId w:val="5"/>
      </w:numPr>
      <w:spacing w:before="120" w:after="0" w:line="240" w:lineRule="auto"/>
    </w:pPr>
    <w:rPr>
      <w:rFonts w:ascii="Arial" w:hAnsi="Arial"/>
      <w:b/>
      <w:sz w:val="20"/>
    </w:rPr>
  </w:style>
  <w:style w:type="paragraph" w:customStyle="1" w:styleId="09BodyFirstParagraph">
    <w:name w:val="09. Body First Paragraph"/>
    <w:basedOn w:val="06AbstractBody"/>
    <w:next w:val="10BodySubsequentParagraph"/>
    <w:link w:val="09BodyFirstParagraphChar"/>
    <w:qFormat/>
    <w:rsid w:val="00BF64A9"/>
    <w:pPr>
      <w:spacing w:before="120"/>
    </w:pPr>
  </w:style>
  <w:style w:type="paragraph" w:customStyle="1" w:styleId="08SectionHeader2">
    <w:name w:val="08. Section Header 2"/>
    <w:basedOn w:val="08SectionHeader1"/>
    <w:next w:val="09BodyFirstParagraph"/>
    <w:qFormat/>
    <w:rsid w:val="00A568B6"/>
    <w:pPr>
      <w:numPr>
        <w:numId w:val="0"/>
      </w:numPr>
    </w:pPr>
    <w:rPr>
      <w:b w:val="0"/>
      <w:i/>
    </w:rPr>
  </w:style>
  <w:style w:type="character" w:styleId="CommentReference">
    <w:name w:val="annotation reference"/>
    <w:basedOn w:val="DefaultParagraphFont"/>
    <w:uiPriority w:val="99"/>
    <w:semiHidden/>
    <w:unhideWhenUsed/>
    <w:rsid w:val="005A33E2"/>
    <w:rPr>
      <w:sz w:val="16"/>
      <w:szCs w:val="16"/>
    </w:rPr>
  </w:style>
  <w:style w:type="paragraph" w:styleId="CommentText">
    <w:name w:val="annotation text"/>
    <w:basedOn w:val="Normal"/>
    <w:link w:val="CommentTextChar"/>
    <w:uiPriority w:val="99"/>
    <w:semiHidden/>
    <w:unhideWhenUsed/>
    <w:rsid w:val="005A33E2"/>
    <w:pPr>
      <w:spacing w:line="240" w:lineRule="auto"/>
    </w:pPr>
    <w:rPr>
      <w:sz w:val="20"/>
      <w:szCs w:val="20"/>
    </w:rPr>
  </w:style>
  <w:style w:type="character" w:customStyle="1" w:styleId="CommentTextChar">
    <w:name w:val="Comment Text Char"/>
    <w:basedOn w:val="DefaultParagraphFont"/>
    <w:link w:val="CommentText"/>
    <w:uiPriority w:val="99"/>
    <w:semiHidden/>
    <w:rsid w:val="005A33E2"/>
    <w:rPr>
      <w:sz w:val="20"/>
      <w:szCs w:val="20"/>
    </w:rPr>
  </w:style>
  <w:style w:type="paragraph" w:styleId="CommentSubject">
    <w:name w:val="annotation subject"/>
    <w:basedOn w:val="CommentText"/>
    <w:next w:val="CommentText"/>
    <w:link w:val="CommentSubjectChar"/>
    <w:uiPriority w:val="99"/>
    <w:semiHidden/>
    <w:unhideWhenUsed/>
    <w:rsid w:val="005A33E2"/>
    <w:rPr>
      <w:b/>
      <w:bCs/>
    </w:rPr>
  </w:style>
  <w:style w:type="character" w:customStyle="1" w:styleId="CommentSubjectChar">
    <w:name w:val="Comment Subject Char"/>
    <w:basedOn w:val="CommentTextChar"/>
    <w:link w:val="CommentSubject"/>
    <w:uiPriority w:val="99"/>
    <w:semiHidden/>
    <w:rsid w:val="005A33E2"/>
    <w:rPr>
      <w:b/>
      <w:bCs/>
      <w:sz w:val="20"/>
      <w:szCs w:val="20"/>
    </w:rPr>
  </w:style>
  <w:style w:type="paragraph" w:styleId="BalloonText">
    <w:name w:val="Balloon Text"/>
    <w:basedOn w:val="Normal"/>
    <w:link w:val="BalloonTextChar"/>
    <w:uiPriority w:val="99"/>
    <w:semiHidden/>
    <w:unhideWhenUsed/>
    <w:rsid w:val="005A33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E2"/>
    <w:rPr>
      <w:rFonts w:ascii="Tahoma" w:hAnsi="Tahoma" w:cs="Tahoma"/>
      <w:sz w:val="16"/>
      <w:szCs w:val="16"/>
    </w:rPr>
  </w:style>
  <w:style w:type="paragraph" w:customStyle="1" w:styleId="08SectionHeader3">
    <w:name w:val="08. Section Header 3"/>
    <w:basedOn w:val="08SectionHeader2"/>
    <w:next w:val="09BodyFirstParagraph"/>
    <w:qFormat/>
    <w:rsid w:val="005A33E2"/>
    <w:rPr>
      <w:i w:val="0"/>
    </w:rPr>
  </w:style>
  <w:style w:type="paragraph" w:customStyle="1" w:styleId="20FundingSectionHeader">
    <w:name w:val="20. Funding Section Header"/>
    <w:basedOn w:val="08SectionHeader1"/>
    <w:next w:val="09BodyFirstParagraph"/>
    <w:qFormat/>
    <w:rsid w:val="00A55B30"/>
    <w:pPr>
      <w:numPr>
        <w:numId w:val="0"/>
      </w:numPr>
      <w:spacing w:after="120"/>
      <w:ind w:left="360" w:hanging="360"/>
    </w:pPr>
  </w:style>
  <w:style w:type="paragraph" w:customStyle="1" w:styleId="21AcknowledgmentsSectionHeader">
    <w:name w:val="21. Acknowledgments Section Header"/>
    <w:basedOn w:val="20FundingSectionHeader"/>
    <w:next w:val="09BodyFirstParagraph"/>
    <w:qFormat/>
    <w:rsid w:val="00A55B30"/>
  </w:style>
  <w:style w:type="paragraph" w:customStyle="1" w:styleId="12FigureCaptionShort">
    <w:name w:val="12. Figure Caption Short"/>
    <w:basedOn w:val="09BodyFirstParagraph"/>
    <w:next w:val="10BodySubsequentParagraph"/>
    <w:qFormat/>
    <w:rsid w:val="00FD5E0D"/>
    <w:pPr>
      <w:spacing w:after="120"/>
      <w:ind w:left="720" w:right="720"/>
      <w:jc w:val="center"/>
    </w:pPr>
    <w:rPr>
      <w:sz w:val="16"/>
    </w:rPr>
  </w:style>
  <w:style w:type="paragraph" w:customStyle="1" w:styleId="12FigureCaptionLong">
    <w:name w:val="12. Figure Caption Long"/>
    <w:basedOn w:val="12FigureCaptionShort"/>
    <w:next w:val="10BodySubsequentParagraph"/>
    <w:qFormat/>
    <w:rsid w:val="00FD5E0D"/>
    <w:pPr>
      <w:jc w:val="both"/>
    </w:pPr>
  </w:style>
  <w:style w:type="paragraph" w:customStyle="1" w:styleId="14TableCaption">
    <w:name w:val="14. Table Caption"/>
    <w:basedOn w:val="09BodyFirstParagraph"/>
    <w:next w:val="15TableBody"/>
    <w:qFormat/>
    <w:rsid w:val="0048331C"/>
    <w:pPr>
      <w:spacing w:before="240" w:after="160"/>
      <w:jc w:val="center"/>
    </w:pPr>
    <w:rPr>
      <w:b/>
      <w:sz w:val="16"/>
    </w:rPr>
  </w:style>
  <w:style w:type="paragraph" w:customStyle="1" w:styleId="13Equation">
    <w:name w:val="13. Equation"/>
    <w:basedOn w:val="10BodySubsequentParagraph"/>
    <w:next w:val="10BodySubsequentParagraph"/>
    <w:link w:val="13EquationChar"/>
    <w:qFormat/>
    <w:rsid w:val="00176184"/>
    <w:pPr>
      <w:tabs>
        <w:tab w:val="center" w:pos="4320"/>
        <w:tab w:val="right" w:pos="7560"/>
      </w:tabs>
      <w:spacing w:before="120"/>
      <w:ind w:firstLine="0"/>
      <w:jc w:val="left"/>
    </w:pPr>
  </w:style>
  <w:style w:type="paragraph" w:customStyle="1" w:styleId="16TableFootnote">
    <w:name w:val="16. Table Footnote"/>
    <w:basedOn w:val="09BodyFirstParagraph"/>
    <w:next w:val="10BodySubsequentParagraph"/>
    <w:rsid w:val="00432E94"/>
    <w:pPr>
      <w:spacing w:after="120"/>
    </w:pPr>
    <w:rPr>
      <w:sz w:val="16"/>
    </w:rPr>
  </w:style>
  <w:style w:type="paragraph" w:customStyle="1" w:styleId="15TableBody">
    <w:name w:val="15. Table Body"/>
    <w:basedOn w:val="09BodyFirstParagraph"/>
    <w:next w:val="10BodySubsequentParagraph"/>
    <w:qFormat/>
    <w:rsid w:val="0048331C"/>
    <w:pPr>
      <w:spacing w:before="0" w:after="80"/>
    </w:pPr>
    <w:rPr>
      <w:sz w:val="16"/>
    </w:rPr>
  </w:style>
  <w:style w:type="paragraph" w:customStyle="1" w:styleId="19ListNumber1">
    <w:name w:val="19. List Number 1"/>
    <w:basedOn w:val="10BodySubsequentParagraph"/>
    <w:rsid w:val="00FC5DCC"/>
    <w:pPr>
      <w:numPr>
        <w:numId w:val="7"/>
      </w:numPr>
      <w:spacing w:before="120"/>
    </w:pPr>
  </w:style>
  <w:style w:type="paragraph" w:customStyle="1" w:styleId="05WebAddress">
    <w:name w:val="05. Web Address"/>
    <w:basedOn w:val="04Email"/>
    <w:next w:val="06AbstractBody"/>
    <w:rsid w:val="00CB0396"/>
  </w:style>
  <w:style w:type="paragraph" w:customStyle="1" w:styleId="11Figure">
    <w:name w:val="11. Figure"/>
    <w:basedOn w:val="09BodyFirstParagraph"/>
    <w:next w:val="12FigureCaptionLong"/>
    <w:qFormat/>
    <w:rsid w:val="00FD5E0D"/>
    <w:pPr>
      <w:jc w:val="center"/>
    </w:pPr>
    <w:rPr>
      <w:sz w:val="16"/>
    </w:rPr>
  </w:style>
  <w:style w:type="paragraph" w:customStyle="1" w:styleId="19ListNumber2">
    <w:name w:val="19. List Number 2"/>
    <w:basedOn w:val="19ListNumber1"/>
    <w:rsid w:val="00EC0262"/>
    <w:pPr>
      <w:numPr>
        <w:numId w:val="8"/>
      </w:numPr>
    </w:pPr>
  </w:style>
  <w:style w:type="paragraph" w:customStyle="1" w:styleId="18ListUnnumbered">
    <w:name w:val="18. List Unnumbered"/>
    <w:basedOn w:val="19ListNumber1"/>
    <w:rsid w:val="00062D82"/>
    <w:pPr>
      <w:numPr>
        <w:numId w:val="0"/>
      </w:numPr>
      <w:ind w:left="360"/>
    </w:pPr>
  </w:style>
  <w:style w:type="paragraph" w:customStyle="1" w:styleId="17ListBulleted">
    <w:name w:val="17. List Bulleted"/>
    <w:basedOn w:val="18ListUnnumbered"/>
    <w:rsid w:val="00A035D7"/>
    <w:pPr>
      <w:numPr>
        <w:numId w:val="9"/>
      </w:numPr>
    </w:pPr>
  </w:style>
  <w:style w:type="paragraph" w:customStyle="1" w:styleId="02AuthorSupplement">
    <w:name w:val="02. Author Supplement"/>
    <w:basedOn w:val="02Author-BOE"/>
    <w:next w:val="03AuthorAffiliation"/>
    <w:qFormat/>
    <w:rsid w:val="00B7453C"/>
    <w:rPr>
      <w:color w:val="000000" w:themeColor="text1"/>
    </w:rPr>
  </w:style>
  <w:style w:type="paragraph" w:customStyle="1" w:styleId="02Author-JOSAA">
    <w:name w:val="02. Author - JOSAA"/>
    <w:basedOn w:val="02AuthorSupplement"/>
    <w:next w:val="03AuthorAffiliation"/>
    <w:qFormat/>
    <w:rsid w:val="005F4008"/>
    <w:rPr>
      <w:color w:val="4C265B"/>
    </w:rPr>
  </w:style>
  <w:style w:type="paragraph" w:customStyle="1" w:styleId="02Author-JOSAB">
    <w:name w:val="02. Author - JOSAB"/>
    <w:basedOn w:val="02Author-JOSAA"/>
    <w:next w:val="03AuthorAffiliation"/>
    <w:rsid w:val="005F4008"/>
    <w:rPr>
      <w:color w:val="16A14C"/>
    </w:rPr>
  </w:style>
  <w:style w:type="paragraph" w:customStyle="1" w:styleId="02Author-Optica">
    <w:name w:val="02. Author - Optica"/>
    <w:basedOn w:val="02Author-JOSAA"/>
    <w:next w:val="03AuthorAffiliation"/>
    <w:rsid w:val="005F4008"/>
    <w:rPr>
      <w:color w:val="007B4A"/>
    </w:rPr>
  </w:style>
  <w:style w:type="paragraph" w:customStyle="1" w:styleId="02Author-OL">
    <w:name w:val="02. Author - OL"/>
    <w:basedOn w:val="02Author-Optica"/>
    <w:next w:val="03AuthorAffiliation"/>
    <w:rsid w:val="005F4008"/>
    <w:rPr>
      <w:color w:val="254982"/>
    </w:rPr>
  </w:style>
  <w:style w:type="paragraph" w:customStyle="1" w:styleId="22DisclosuresSectionHeader">
    <w:name w:val="22. Disclosures Section Header"/>
    <w:basedOn w:val="21AcknowledgmentsSectionHeader"/>
    <w:next w:val="09BodyFirstParagraph"/>
    <w:qFormat/>
    <w:rsid w:val="007F35CC"/>
  </w:style>
  <w:style w:type="character" w:customStyle="1" w:styleId="Heading1Char">
    <w:name w:val="Heading 1 Char"/>
    <w:basedOn w:val="DefaultParagraphFont"/>
    <w:link w:val="Heading1"/>
    <w:uiPriority w:val="9"/>
    <w:rsid w:val="006270B3"/>
    <w:rPr>
      <w:rFonts w:asciiTheme="majorHAnsi" w:eastAsiaTheme="majorEastAsia" w:hAnsiTheme="majorHAnsi" w:cstheme="majorBidi"/>
      <w:color w:val="365F91" w:themeColor="accent1" w:themeShade="BF"/>
      <w:sz w:val="32"/>
      <w:szCs w:val="32"/>
    </w:rPr>
  </w:style>
  <w:style w:type="character" w:styleId="Hyperlink">
    <w:name w:val="Hyperlink"/>
    <w:basedOn w:val="DefaultParagraphFont"/>
    <w:uiPriority w:val="99"/>
    <w:unhideWhenUsed/>
    <w:rsid w:val="00497360"/>
    <w:rPr>
      <w:color w:val="0000FF" w:themeColor="hyperlink"/>
      <w:u w:val="single"/>
    </w:rPr>
  </w:style>
  <w:style w:type="paragraph" w:customStyle="1" w:styleId="08SectionHeader10">
    <w:name w:val="08. Section Header 1"/>
    <w:next w:val="09BodyFirstParagraph"/>
    <w:qFormat/>
    <w:rsid w:val="00497360"/>
    <w:pPr>
      <w:spacing w:before="120" w:after="0" w:line="240" w:lineRule="auto"/>
      <w:ind w:left="360" w:hanging="360"/>
    </w:pPr>
    <w:rPr>
      <w:rFonts w:ascii="Arial" w:hAnsi="Arial"/>
      <w:b/>
      <w:sz w:val="20"/>
    </w:rPr>
  </w:style>
  <w:style w:type="table" w:styleId="TableGrid">
    <w:name w:val="Table Grid"/>
    <w:basedOn w:val="TableNormal"/>
    <w:uiPriority w:val="59"/>
    <w:rsid w:val="009941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Author-AOP">
    <w:name w:val="02. Author - AOP"/>
    <w:basedOn w:val="02AuthorSupplement"/>
    <w:rsid w:val="00092896"/>
    <w:rPr>
      <w:color w:val="8F043A"/>
    </w:rPr>
  </w:style>
  <w:style w:type="paragraph" w:customStyle="1" w:styleId="02Author-PRJ">
    <w:name w:val="02. Author - PRJ"/>
    <w:basedOn w:val="02Author-Optica"/>
    <w:rsid w:val="00BD2F0B"/>
    <w:rPr>
      <w:color w:val="7E2C2E"/>
    </w:rPr>
  </w:style>
  <w:style w:type="paragraph" w:customStyle="1" w:styleId="02Author">
    <w:name w:val="02. Author"/>
    <w:basedOn w:val="02AuthorSupplement"/>
    <w:next w:val="03AuthorAffiliation"/>
    <w:rsid w:val="00974BEF"/>
    <w:rPr>
      <w:color w:val="595959" w:themeColor="text1" w:themeTint="A6"/>
    </w:rPr>
  </w:style>
  <w:style w:type="paragraph" w:customStyle="1" w:styleId="02Author-OSAC">
    <w:name w:val="02. Author - OSAC"/>
    <w:basedOn w:val="02Author-OME"/>
    <w:next w:val="03AuthorAffiliation"/>
    <w:rsid w:val="00D07434"/>
    <w:rPr>
      <w:color w:val="006E90"/>
    </w:rPr>
  </w:style>
  <w:style w:type="paragraph" w:customStyle="1" w:styleId="MTDisplayEquation">
    <w:name w:val="MTDisplayEquation"/>
    <w:basedOn w:val="13Equation"/>
    <w:next w:val="Normal"/>
    <w:link w:val="MTDisplayEquationChar"/>
    <w:rsid w:val="00C1651A"/>
    <w:pPr>
      <w:tabs>
        <w:tab w:val="clear" w:pos="4320"/>
        <w:tab w:val="clear" w:pos="7560"/>
        <w:tab w:val="center" w:pos="3760"/>
        <w:tab w:val="right" w:pos="7540"/>
      </w:tabs>
    </w:pPr>
  </w:style>
  <w:style w:type="character" w:customStyle="1" w:styleId="06AbstractBodyChar">
    <w:name w:val="06. Abstract Body Char"/>
    <w:basedOn w:val="DefaultParagraphFont"/>
    <w:link w:val="06AbstractBody"/>
    <w:rsid w:val="00C1651A"/>
    <w:rPr>
      <w:rFonts w:ascii="Times New Roman" w:hAnsi="Times New Roman"/>
      <w:color w:val="000000" w:themeColor="text1"/>
      <w:sz w:val="20"/>
    </w:rPr>
  </w:style>
  <w:style w:type="character" w:customStyle="1" w:styleId="09BodyFirstParagraphChar">
    <w:name w:val="09. Body First Paragraph Char"/>
    <w:basedOn w:val="06AbstractBodyChar"/>
    <w:link w:val="09BodyFirstParagraph"/>
    <w:rsid w:val="00C1651A"/>
    <w:rPr>
      <w:rFonts w:ascii="Times New Roman" w:hAnsi="Times New Roman"/>
      <w:color w:val="000000" w:themeColor="text1"/>
      <w:sz w:val="20"/>
    </w:rPr>
  </w:style>
  <w:style w:type="character" w:customStyle="1" w:styleId="10BodySubsequentParagraphChar">
    <w:name w:val="10. Body Subsequent Paragraph Char"/>
    <w:basedOn w:val="09BodyFirstParagraphChar"/>
    <w:link w:val="10BodySubsequentParagraph"/>
    <w:rsid w:val="00C1651A"/>
    <w:rPr>
      <w:rFonts w:ascii="Times New Roman" w:hAnsi="Times New Roman"/>
      <w:color w:val="000000" w:themeColor="text1"/>
      <w:sz w:val="20"/>
    </w:rPr>
  </w:style>
  <w:style w:type="character" w:customStyle="1" w:styleId="13EquationChar">
    <w:name w:val="13. Equation Char"/>
    <w:basedOn w:val="10BodySubsequentParagraphChar"/>
    <w:link w:val="13Equation"/>
    <w:rsid w:val="00C1651A"/>
    <w:rPr>
      <w:rFonts w:ascii="Times New Roman" w:hAnsi="Times New Roman"/>
      <w:color w:val="000000" w:themeColor="text1"/>
      <w:sz w:val="20"/>
    </w:rPr>
  </w:style>
  <w:style w:type="character" w:customStyle="1" w:styleId="MTDisplayEquationChar">
    <w:name w:val="MTDisplayEquation Char"/>
    <w:basedOn w:val="13EquationChar"/>
    <w:link w:val="MTDisplayEquation"/>
    <w:rsid w:val="00C1651A"/>
    <w:rPr>
      <w:rFonts w:ascii="Times New Roman" w:hAnsi="Times New Roman"/>
      <w:color w:val="000000" w:themeColor="text1"/>
      <w:sz w:val="20"/>
    </w:rPr>
  </w:style>
  <w:style w:type="character" w:styleId="UnresolvedMention">
    <w:name w:val="Unresolved Mention"/>
    <w:basedOn w:val="DefaultParagraphFont"/>
    <w:uiPriority w:val="99"/>
    <w:semiHidden/>
    <w:unhideWhenUsed/>
    <w:rsid w:val="00DA3F5C"/>
    <w:rPr>
      <w:color w:val="605E5C"/>
      <w:shd w:val="clear" w:color="auto" w:fill="E1DFDD"/>
    </w:rPr>
  </w:style>
  <w:style w:type="paragraph" w:styleId="Bibliography">
    <w:name w:val="Bibliography"/>
    <w:basedOn w:val="Normal"/>
    <w:next w:val="Normal"/>
    <w:uiPriority w:val="37"/>
    <w:unhideWhenUsed/>
    <w:rsid w:val="00AF77D4"/>
    <w:pPr>
      <w:tabs>
        <w:tab w:val="left" w:pos="504"/>
      </w:tabs>
      <w:spacing w:after="0" w:line="240" w:lineRule="auto"/>
      <w:ind w:left="504" w:hanging="50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3" Type="http://schemas.openxmlformats.org/officeDocument/2006/relationships/styles" Target="styles.xml"/><Relationship Id="rId7" Type="http://schemas.openxmlformats.org/officeDocument/2006/relationships/image" Target="media/image2.tif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FF36A5-E2C8-4EF5-8A2F-4148C5827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10</Pages>
  <Words>11106</Words>
  <Characters>63310</Characters>
  <Application>Microsoft Office Word</Application>
  <DocSecurity>0</DocSecurity>
  <Lines>527</Lines>
  <Paragraphs>148</Paragraphs>
  <ScaleCrop>false</ScaleCrop>
  <HeadingPairs>
    <vt:vector size="2" baseType="variant">
      <vt:variant>
        <vt:lpstr>Title</vt:lpstr>
      </vt:variant>
      <vt:variant>
        <vt:i4>1</vt:i4>
      </vt:variant>
    </vt:vector>
  </HeadingPairs>
  <TitlesOfParts>
    <vt:vector size="1" baseType="lpstr">
      <vt:lpstr/>
    </vt:vector>
  </TitlesOfParts>
  <Company>OSA</Company>
  <LinksUpToDate>false</LinksUpToDate>
  <CharactersWithSpaces>74268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Jennifer Mayfield</dc:creator>
  <cp:lastModifiedBy>Kazuhiro Kurokawa</cp:lastModifiedBy>
  <cp:revision>84</cp:revision>
  <dcterms:created xsi:type="dcterms:W3CDTF">2023-08-21T21:49:00Z</dcterms:created>
  <dcterms:modified xsi:type="dcterms:W3CDTF">2023-09-06T23:18:00Z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ZOTERO_PREF_1">
    <vt:lpwstr>&lt;data data-version="3" zotero-version="6.0.26"&gt;&lt;session id="qhgIH2RW"/&gt;&lt;style id="http://www.zotero.org/styles/osa" locale="en-US" hasBibliography="1" bibliographyStyleHasBeenSet="1"/&gt;&lt;prefs&gt;&lt;pref name="fieldType" value="Field"/&gt;&lt;/prefs&gt;&lt;/data&gt;</vt:lpwstr>
  </property>
</Properties>
</file>